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E37" w:rsidRPr="00114DD5" w:rsidRDefault="00901E37" w:rsidP="00901E37">
      <w:pPr>
        <w:pStyle w:val="Heading2"/>
        <w:numPr>
          <w:ilvl w:val="0"/>
          <w:numId w:val="0"/>
        </w:numPr>
        <w:rPr>
          <w:sz w:val="24"/>
        </w:rPr>
      </w:pPr>
      <w:bookmarkStart w:id="0" w:name="_Toc413221101"/>
      <w:proofErr w:type="gramStart"/>
      <w:r w:rsidRPr="00114DD5">
        <w:rPr>
          <w:sz w:val="24"/>
        </w:rPr>
        <w:t>Appendix B.</w:t>
      </w:r>
      <w:proofErr w:type="gramEnd"/>
      <w:r w:rsidRPr="00114DD5">
        <w:rPr>
          <w:sz w:val="24"/>
        </w:rPr>
        <w:t>  Engineering Specifications Checklist (Guidance)</w:t>
      </w:r>
      <w:bookmarkEnd w:id="0"/>
    </w:p>
    <w:p w:rsidR="00901E37" w:rsidRPr="008A6126" w:rsidRDefault="00901E37" w:rsidP="00901E37">
      <w:pPr>
        <w:pStyle w:val="ProcBodyText"/>
        <w:rPr>
          <w:rFonts w:ascii="Times New Roman" w:hAnsi="Times New Roman"/>
          <w:sz w:val="22"/>
          <w:szCs w:val="22"/>
        </w:rPr>
      </w:pPr>
      <w:r w:rsidRPr="008A6126">
        <w:rPr>
          <w:rFonts w:ascii="Times New Roman" w:hAnsi="Times New Roman"/>
          <w:sz w:val="22"/>
          <w:szCs w:val="22"/>
        </w:rPr>
        <w:t>The following provides items to be considered for completeness of the specification.  Depending on the nature of the specification and procurement process, items may alternatively be included in other procurement documents or may be deemed not applicable to the specification.</w:t>
      </w:r>
    </w:p>
    <w:p w:rsidR="00901E37" w:rsidRPr="008A6126" w:rsidRDefault="00901E37" w:rsidP="00901E37">
      <w:pPr>
        <w:pStyle w:val="ProcHeading2"/>
        <w:tabs>
          <w:tab w:val="clear" w:pos="720"/>
        </w:tabs>
        <w:rPr>
          <w:rFonts w:ascii="Times New Roman" w:hAnsi="Times New Roman" w:cs="Times New Roman"/>
          <w:sz w:val="22"/>
          <w:szCs w:val="22"/>
        </w:rPr>
      </w:pPr>
      <w:r>
        <w:rPr>
          <w:rFonts w:ascii="Times New Roman" w:hAnsi="Times New Roman" w:cs="Times New Roman"/>
          <w:sz w:val="22"/>
          <w:szCs w:val="22"/>
        </w:rPr>
        <w:t>1.0</w:t>
      </w:r>
      <w:r>
        <w:rPr>
          <w:rFonts w:ascii="Times New Roman" w:hAnsi="Times New Roman" w:cs="Times New Roman"/>
          <w:sz w:val="22"/>
          <w:szCs w:val="22"/>
        </w:rPr>
        <w:tab/>
        <w:t>Scope</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The scope is clearly defined and is consistent with the Statement of Work.</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Requirements are appropriate for the item.</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Limited “extra” information is provided.</w:t>
      </w:r>
    </w:p>
    <w:p w:rsidR="00901E37" w:rsidRPr="008A6126" w:rsidRDefault="00901E37" w:rsidP="00901E37">
      <w:pPr>
        <w:pStyle w:val="ProcHeading2"/>
        <w:rPr>
          <w:rFonts w:ascii="Times New Roman" w:hAnsi="Times New Roman" w:cs="Times New Roman"/>
          <w:sz w:val="22"/>
          <w:szCs w:val="22"/>
        </w:rPr>
      </w:pPr>
      <w:r w:rsidRPr="008A6126">
        <w:rPr>
          <w:rFonts w:ascii="Times New Roman" w:hAnsi="Times New Roman" w:cs="Times New Roman"/>
          <w:sz w:val="22"/>
          <w:szCs w:val="22"/>
        </w:rPr>
        <w:t>2.0</w:t>
      </w:r>
      <w:r w:rsidRPr="008A6126">
        <w:rPr>
          <w:rFonts w:ascii="Times New Roman" w:hAnsi="Times New Roman" w:cs="Times New Roman"/>
          <w:sz w:val="22"/>
          <w:szCs w:val="22"/>
        </w:rPr>
        <w:tab/>
        <w:t>References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Used appropriately.</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No conflicts or ambiguity.</w:t>
      </w:r>
    </w:p>
    <w:p w:rsidR="00901E37" w:rsidRPr="008A6126" w:rsidRDefault="00901E37" w:rsidP="00901E37">
      <w:pPr>
        <w:pStyle w:val="ProcBulletListFirstLevel"/>
        <w:ind w:hanging="360"/>
        <w:rPr>
          <w:rFonts w:ascii="Times New Roman" w:hAnsi="Times New Roman"/>
          <w:sz w:val="22"/>
          <w:szCs w:val="22"/>
        </w:rPr>
      </w:pPr>
      <w:r>
        <w:rPr>
          <w:rFonts w:ascii="Times New Roman" w:hAnsi="Times New Roman"/>
          <w:sz w:val="22"/>
          <w:szCs w:val="22"/>
        </w:rPr>
        <w:t xml:space="preserve">Revisions addressed [e.g., </w:t>
      </w:r>
      <w:r w:rsidRPr="008A6126">
        <w:rPr>
          <w:rFonts w:ascii="Times New Roman" w:hAnsi="Times New Roman"/>
          <w:sz w:val="22"/>
          <w:szCs w:val="22"/>
        </w:rPr>
        <w:t>“latest edition</w:t>
      </w:r>
      <w:r>
        <w:rPr>
          <w:rFonts w:ascii="Times New Roman" w:hAnsi="Times New Roman"/>
          <w:sz w:val="22"/>
          <w:szCs w:val="22"/>
        </w:rPr>
        <w:t>” conveyed (preferred) or specific revision stated].</w:t>
      </w:r>
    </w:p>
    <w:p w:rsidR="00901E37" w:rsidRPr="008A6126" w:rsidRDefault="00901E37" w:rsidP="00901E37">
      <w:pPr>
        <w:pStyle w:val="ProcHeading2"/>
        <w:rPr>
          <w:rFonts w:ascii="Times New Roman" w:hAnsi="Times New Roman" w:cs="Times New Roman"/>
          <w:sz w:val="22"/>
          <w:szCs w:val="22"/>
        </w:rPr>
      </w:pPr>
      <w:r w:rsidRPr="008A6126">
        <w:rPr>
          <w:rFonts w:ascii="Times New Roman" w:hAnsi="Times New Roman" w:cs="Times New Roman"/>
          <w:sz w:val="22"/>
          <w:szCs w:val="22"/>
        </w:rPr>
        <w:t>3.0</w:t>
      </w:r>
      <w:r w:rsidRPr="008A6126">
        <w:rPr>
          <w:rFonts w:ascii="Times New Roman" w:hAnsi="Times New Roman" w:cs="Times New Roman"/>
          <w:sz w:val="22"/>
          <w:szCs w:val="22"/>
        </w:rPr>
        <w:tab/>
        <w:t>Requirements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Requirements clearly defined.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As-is conditions, interfaces, and tie-ins are clearly d</w:t>
      </w:r>
      <w:r>
        <w:rPr>
          <w:rFonts w:ascii="Times New Roman" w:hAnsi="Times New Roman"/>
          <w:sz w:val="22"/>
          <w:szCs w:val="22"/>
        </w:rPr>
        <w:t>efined and are physically field-</w:t>
      </w:r>
      <w:r w:rsidRPr="008A6126">
        <w:rPr>
          <w:rFonts w:ascii="Times New Roman" w:hAnsi="Times New Roman"/>
          <w:sz w:val="22"/>
          <w:szCs w:val="22"/>
        </w:rPr>
        <w:t>verified or required to be verified.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Performance requirements are used where appropriate with a level of detail appropriate.</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 xml:space="preserve">Technical requirements, salient features, and critical characteristics are defined in measurable and verifiable terms with acceptance limits </w:t>
      </w:r>
      <w:r>
        <w:rPr>
          <w:rFonts w:ascii="Times New Roman" w:hAnsi="Times New Roman"/>
          <w:sz w:val="22"/>
          <w:szCs w:val="22"/>
        </w:rPr>
        <w:t xml:space="preserve">(and/or tolerances) </w:t>
      </w:r>
      <w:r w:rsidRPr="008A6126">
        <w:rPr>
          <w:rFonts w:ascii="Times New Roman" w:hAnsi="Times New Roman"/>
          <w:sz w:val="22"/>
          <w:szCs w:val="22"/>
        </w:rPr>
        <w:t>and requirements.</w:t>
      </w:r>
    </w:p>
    <w:p w:rsidR="00901E37" w:rsidRPr="008A6126" w:rsidRDefault="00901E37" w:rsidP="00901E37">
      <w:pPr>
        <w:pStyle w:val="ProcNumberList"/>
        <w:numPr>
          <w:ilvl w:val="0"/>
          <w:numId w:val="3"/>
        </w:numPr>
        <w:tabs>
          <w:tab w:val="clear" w:pos="1152"/>
          <w:tab w:val="clear" w:pos="1260"/>
          <w:tab w:val="left" w:pos="1620"/>
        </w:tabs>
        <w:ind w:hanging="547"/>
        <w:rPr>
          <w:rFonts w:ascii="Times New Roman" w:hAnsi="Times New Roman"/>
          <w:sz w:val="22"/>
          <w:szCs w:val="22"/>
        </w:rPr>
      </w:pPr>
      <w:r w:rsidRPr="008A6126">
        <w:rPr>
          <w:rFonts w:ascii="Times New Roman" w:hAnsi="Times New Roman"/>
          <w:sz w:val="22"/>
          <w:szCs w:val="22"/>
        </w:rPr>
        <w:t>Required items and performance</w:t>
      </w:r>
    </w:p>
    <w:p w:rsidR="00901E37" w:rsidRPr="008A6126" w:rsidRDefault="00901E37" w:rsidP="00901E37">
      <w:pPr>
        <w:pStyle w:val="ProcNumberList"/>
        <w:numPr>
          <w:ilvl w:val="0"/>
          <w:numId w:val="3"/>
        </w:numPr>
        <w:tabs>
          <w:tab w:val="clear" w:pos="1152"/>
          <w:tab w:val="clear" w:pos="1260"/>
          <w:tab w:val="left" w:pos="1620"/>
        </w:tabs>
        <w:ind w:hanging="547"/>
        <w:rPr>
          <w:rFonts w:ascii="Times New Roman" w:hAnsi="Times New Roman"/>
          <w:sz w:val="22"/>
          <w:szCs w:val="22"/>
        </w:rPr>
      </w:pPr>
      <w:r w:rsidRPr="008A6126">
        <w:rPr>
          <w:rFonts w:ascii="Times New Roman" w:hAnsi="Times New Roman"/>
          <w:sz w:val="22"/>
          <w:szCs w:val="22"/>
        </w:rPr>
        <w:t>Design requirements</w:t>
      </w:r>
    </w:p>
    <w:p w:rsidR="00901E37" w:rsidRPr="008A6126" w:rsidRDefault="00901E37" w:rsidP="00901E37">
      <w:pPr>
        <w:pStyle w:val="ProcNumberList"/>
        <w:numPr>
          <w:ilvl w:val="0"/>
          <w:numId w:val="3"/>
        </w:numPr>
        <w:tabs>
          <w:tab w:val="clear" w:pos="1152"/>
          <w:tab w:val="clear" w:pos="1260"/>
          <w:tab w:val="left" w:pos="1620"/>
        </w:tabs>
        <w:ind w:hanging="547"/>
        <w:rPr>
          <w:rFonts w:ascii="Times New Roman" w:hAnsi="Times New Roman"/>
          <w:sz w:val="22"/>
          <w:szCs w:val="22"/>
        </w:rPr>
      </w:pPr>
      <w:r w:rsidRPr="008A6126">
        <w:rPr>
          <w:rFonts w:ascii="Times New Roman" w:hAnsi="Times New Roman"/>
          <w:sz w:val="22"/>
          <w:szCs w:val="22"/>
        </w:rPr>
        <w:t>Materials of construction</w:t>
      </w:r>
    </w:p>
    <w:p w:rsidR="00901E37" w:rsidRPr="008A6126" w:rsidRDefault="00901E37" w:rsidP="00901E37">
      <w:pPr>
        <w:pStyle w:val="ProcNumberList"/>
        <w:numPr>
          <w:ilvl w:val="0"/>
          <w:numId w:val="3"/>
        </w:numPr>
        <w:tabs>
          <w:tab w:val="clear" w:pos="1152"/>
          <w:tab w:val="clear" w:pos="1260"/>
          <w:tab w:val="left" w:pos="1620"/>
        </w:tabs>
        <w:ind w:hanging="547"/>
        <w:rPr>
          <w:rFonts w:ascii="Times New Roman" w:hAnsi="Times New Roman"/>
          <w:sz w:val="22"/>
          <w:szCs w:val="22"/>
        </w:rPr>
      </w:pPr>
      <w:r>
        <w:rPr>
          <w:rFonts w:ascii="Times New Roman" w:hAnsi="Times New Roman"/>
          <w:sz w:val="22"/>
          <w:szCs w:val="22"/>
        </w:rPr>
        <w:t>Special processes (e.g.,</w:t>
      </w:r>
      <w:r w:rsidRPr="008A6126">
        <w:rPr>
          <w:rFonts w:ascii="Times New Roman" w:hAnsi="Times New Roman"/>
          <w:sz w:val="22"/>
          <w:szCs w:val="22"/>
        </w:rPr>
        <w:t xml:space="preserve"> welding, heat treating, NDE)</w:t>
      </w:r>
    </w:p>
    <w:p w:rsidR="00901E37" w:rsidRPr="008A6126" w:rsidRDefault="00901E37" w:rsidP="00901E37">
      <w:pPr>
        <w:pStyle w:val="ProcNumberList"/>
        <w:numPr>
          <w:ilvl w:val="0"/>
          <w:numId w:val="3"/>
        </w:numPr>
        <w:tabs>
          <w:tab w:val="clear" w:pos="1152"/>
          <w:tab w:val="clear" w:pos="1260"/>
          <w:tab w:val="left" w:pos="1620"/>
        </w:tabs>
        <w:ind w:hanging="547"/>
        <w:rPr>
          <w:rFonts w:ascii="Times New Roman" w:hAnsi="Times New Roman"/>
          <w:sz w:val="22"/>
          <w:szCs w:val="22"/>
        </w:rPr>
      </w:pPr>
      <w:r w:rsidRPr="008A6126">
        <w:rPr>
          <w:rFonts w:ascii="Times New Roman" w:hAnsi="Times New Roman"/>
          <w:sz w:val="22"/>
          <w:szCs w:val="22"/>
        </w:rPr>
        <w:t xml:space="preserve">Quality of workmanship, if </w:t>
      </w:r>
      <w:r>
        <w:rPr>
          <w:rFonts w:ascii="Times New Roman" w:hAnsi="Times New Roman"/>
          <w:sz w:val="22"/>
          <w:szCs w:val="22"/>
        </w:rPr>
        <w:t>different from referenced codes</w:t>
      </w:r>
    </w:p>
    <w:p w:rsidR="00901E37" w:rsidRPr="008A6126" w:rsidRDefault="00901E37" w:rsidP="00901E37">
      <w:pPr>
        <w:pStyle w:val="ProcNumberList"/>
        <w:numPr>
          <w:ilvl w:val="0"/>
          <w:numId w:val="3"/>
        </w:numPr>
        <w:tabs>
          <w:tab w:val="clear" w:pos="1152"/>
          <w:tab w:val="clear" w:pos="1260"/>
          <w:tab w:val="left" w:pos="1620"/>
        </w:tabs>
        <w:ind w:hanging="547"/>
        <w:rPr>
          <w:rFonts w:ascii="Times New Roman" w:hAnsi="Times New Roman"/>
          <w:sz w:val="22"/>
          <w:szCs w:val="22"/>
        </w:rPr>
      </w:pPr>
      <w:r w:rsidRPr="008A6126">
        <w:rPr>
          <w:rFonts w:ascii="Times New Roman" w:hAnsi="Times New Roman"/>
          <w:sz w:val="22"/>
          <w:szCs w:val="22"/>
        </w:rPr>
        <w:t>Special clean</w:t>
      </w:r>
      <w:r>
        <w:rPr>
          <w:rFonts w:ascii="Times New Roman" w:hAnsi="Times New Roman"/>
          <w:sz w:val="22"/>
          <w:szCs w:val="22"/>
        </w:rPr>
        <w:t>liness or cleaning requirements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Special requirements addressed and specified, if appropriate (shelf life, long-term storage, barriers, lifting points, lifting devices, etc.).</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Requirements for personnel qualifications or certifications specified where required by applicable codes and standards.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Submittals of special process procedures for review are specified.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Quality requirements are defined and appropriate for procurement level and risk to project or reference is made to the document that defines the quality requirements.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Critical design and quality assurance hold points and witness points are defined</w:t>
      </w:r>
      <w:r>
        <w:rPr>
          <w:rFonts w:ascii="Times New Roman" w:hAnsi="Times New Roman"/>
          <w:sz w:val="22"/>
          <w:szCs w:val="22"/>
        </w:rPr>
        <w:t>.</w:t>
      </w:r>
    </w:p>
    <w:p w:rsidR="00901E37" w:rsidRPr="008A6126" w:rsidRDefault="00901E37" w:rsidP="00901E37">
      <w:pPr>
        <w:pStyle w:val="ProcBulletListFirstLevel"/>
        <w:ind w:hanging="360"/>
        <w:rPr>
          <w:rFonts w:ascii="Times New Roman" w:hAnsi="Times New Roman"/>
          <w:sz w:val="22"/>
          <w:szCs w:val="22"/>
        </w:rPr>
      </w:pPr>
      <w:bookmarkStart w:id="1" w:name="_GoBack"/>
      <w:bookmarkEnd w:id="1"/>
      <w:r w:rsidRPr="008A6126">
        <w:rPr>
          <w:rFonts w:ascii="Times New Roman" w:hAnsi="Times New Roman"/>
          <w:sz w:val="22"/>
          <w:szCs w:val="22"/>
        </w:rPr>
        <w:t>Deliverables are clearly defined.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Partial shipments of equipment parts, components and subassemblies are defined and include acceptance criteria.</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lastRenderedPageBreak/>
        <w:t>Specific codes and standards governing the work and other references are identified.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Supplemental requirements of the codes and standards are incorporated as appropriate.</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 xml:space="preserve">Acceptance </w:t>
      </w:r>
      <w:proofErr w:type="gramStart"/>
      <w:r w:rsidRPr="008A6126">
        <w:rPr>
          <w:rFonts w:ascii="Times New Roman" w:hAnsi="Times New Roman"/>
          <w:sz w:val="22"/>
          <w:szCs w:val="22"/>
        </w:rPr>
        <w:t>criteria,</w:t>
      </w:r>
      <w:proofErr w:type="gramEnd"/>
      <w:r w:rsidRPr="008A6126">
        <w:rPr>
          <w:rFonts w:ascii="Times New Roman" w:hAnsi="Times New Roman"/>
          <w:sz w:val="22"/>
          <w:szCs w:val="22"/>
        </w:rPr>
        <w:t xml:space="preserve"> hold or witness points, submittal of inspection schedules specified.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Installation requirements specified.</w:t>
      </w:r>
    </w:p>
    <w:p w:rsidR="00901E37" w:rsidRPr="008A6126" w:rsidRDefault="00901E37" w:rsidP="00901E37">
      <w:pPr>
        <w:pStyle w:val="ProcBulletListFirstLevel"/>
        <w:ind w:hanging="360"/>
        <w:rPr>
          <w:rFonts w:ascii="Times New Roman" w:hAnsi="Times New Roman"/>
          <w:sz w:val="22"/>
          <w:szCs w:val="22"/>
        </w:rPr>
      </w:pPr>
      <w:r>
        <w:rPr>
          <w:rFonts w:ascii="Times New Roman" w:hAnsi="Times New Roman"/>
          <w:sz w:val="22"/>
          <w:szCs w:val="22"/>
        </w:rPr>
        <w:t>Tests (including bench tests) and inspections</w:t>
      </w:r>
      <w:r w:rsidRPr="008A6126">
        <w:rPr>
          <w:rFonts w:ascii="Times New Roman" w:hAnsi="Times New Roman"/>
          <w:sz w:val="22"/>
          <w:szCs w:val="22"/>
        </w:rPr>
        <w:t xml:space="preserve"> necessary to demonstrate performance requirements are included.</w:t>
      </w:r>
      <w:r>
        <w:rPr>
          <w:rFonts w:ascii="Times New Roman" w:hAnsi="Times New Roman"/>
          <w:sz w:val="22"/>
          <w:szCs w:val="22"/>
        </w:rPr>
        <w:t xml:space="preserve"> A listing of c</w:t>
      </w:r>
      <w:r w:rsidRPr="008A6126">
        <w:rPr>
          <w:rFonts w:ascii="Times New Roman" w:hAnsi="Times New Roman"/>
          <w:sz w:val="22"/>
          <w:szCs w:val="22"/>
        </w:rPr>
        <w:t>ritical design and quality assurance hold points and witness points are submitted for review and approval</w:t>
      </w:r>
      <w:r>
        <w:rPr>
          <w:rFonts w:ascii="Times New Roman" w:hAnsi="Times New Roman"/>
          <w:sz w:val="22"/>
          <w:szCs w:val="22"/>
        </w:rPr>
        <w:t>.</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 xml:space="preserve">Performance attribute verification requirements are clearly defined and implement developed </w:t>
      </w:r>
      <w:r>
        <w:rPr>
          <w:rFonts w:ascii="Times New Roman" w:hAnsi="Times New Roman"/>
          <w:sz w:val="22"/>
          <w:szCs w:val="22"/>
        </w:rPr>
        <w:t xml:space="preserve">test and </w:t>
      </w:r>
      <w:r w:rsidRPr="008A6126">
        <w:rPr>
          <w:rFonts w:ascii="Times New Roman" w:hAnsi="Times New Roman"/>
          <w:sz w:val="22"/>
          <w:szCs w:val="22"/>
        </w:rPr>
        <w:t>inspection plans</w:t>
      </w:r>
      <w:r>
        <w:rPr>
          <w:rFonts w:ascii="Times New Roman" w:hAnsi="Times New Roman"/>
          <w:sz w:val="22"/>
          <w:szCs w:val="22"/>
        </w:rPr>
        <w:t>,</w:t>
      </w:r>
      <w:r w:rsidRPr="008A6126">
        <w:rPr>
          <w:rFonts w:ascii="Times New Roman" w:hAnsi="Times New Roman"/>
          <w:sz w:val="22"/>
          <w:szCs w:val="22"/>
        </w:rPr>
        <w:t xml:space="preserve"> and source </w:t>
      </w:r>
      <w:r>
        <w:rPr>
          <w:rFonts w:ascii="Times New Roman" w:hAnsi="Times New Roman"/>
          <w:sz w:val="22"/>
          <w:szCs w:val="22"/>
        </w:rPr>
        <w:t>verification</w:t>
      </w:r>
      <w:r w:rsidRPr="008A6126">
        <w:rPr>
          <w:rFonts w:ascii="Times New Roman" w:hAnsi="Times New Roman"/>
          <w:sz w:val="22"/>
          <w:szCs w:val="22"/>
        </w:rPr>
        <w:t xml:space="preserve"> plans</w:t>
      </w:r>
      <w:r>
        <w:rPr>
          <w:rFonts w:ascii="Times New Roman" w:hAnsi="Times New Roman"/>
          <w:sz w:val="22"/>
          <w:szCs w:val="22"/>
        </w:rPr>
        <w:t xml:space="preserve"> as appropriate</w:t>
      </w:r>
      <w:r w:rsidRPr="008A6126">
        <w:rPr>
          <w:rFonts w:ascii="Times New Roman" w:hAnsi="Times New Roman"/>
          <w:sz w:val="22"/>
          <w:szCs w:val="22"/>
        </w:rPr>
        <w:t>.</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Compliance reviews (e.g., National Electric Code) are developed and included.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Submittals are linked to technical requirements.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References are used appropriately.</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There are no conflicts or ambiguities in the references.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Specific revisions to codes, standards, and other references are used.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Drawings and sketches contain sufficient detail to define expectations.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The specification is consistent with the statement of work.</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Documentation and approvals clearly described.</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Applicable quality assurance program documentation is submitted for review and approval prior to commencement of work.</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Those records that the supplier is to maintain are identified, the retention period</w:t>
      </w:r>
      <w:r>
        <w:rPr>
          <w:rFonts w:ascii="Times New Roman" w:hAnsi="Times New Roman"/>
          <w:sz w:val="22"/>
          <w:szCs w:val="22"/>
        </w:rPr>
        <w:t xml:space="preserve"> and disposition requirements are</w:t>
      </w:r>
      <w:r w:rsidRPr="008A6126">
        <w:rPr>
          <w:rFonts w:ascii="Times New Roman" w:hAnsi="Times New Roman"/>
          <w:sz w:val="22"/>
          <w:szCs w:val="22"/>
        </w:rPr>
        <w:t xml:space="preserve"> stated</w:t>
      </w:r>
      <w:r>
        <w:rPr>
          <w:rFonts w:ascii="Times New Roman" w:hAnsi="Times New Roman"/>
          <w:sz w:val="22"/>
          <w:szCs w:val="22"/>
        </w:rPr>
        <w:t>,</w:t>
      </w:r>
      <w:r w:rsidRPr="008A6126">
        <w:rPr>
          <w:rFonts w:ascii="Times New Roman" w:hAnsi="Times New Roman"/>
          <w:sz w:val="22"/>
          <w:szCs w:val="22"/>
        </w:rPr>
        <w:t xml:space="preserve"> and it is stated that they shall be accessible to project, as applicable.</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Records to be submitted are defined and the schedule for submittal of the records is established and consistent with partial shipments defined.</w:t>
      </w:r>
    </w:p>
    <w:p w:rsidR="00901E37" w:rsidRPr="008A6126" w:rsidRDefault="00901E37" w:rsidP="00901E37">
      <w:pPr>
        <w:pStyle w:val="ProcHeading2"/>
        <w:rPr>
          <w:rFonts w:ascii="Times New Roman" w:hAnsi="Times New Roman" w:cs="Times New Roman"/>
          <w:sz w:val="22"/>
          <w:szCs w:val="22"/>
        </w:rPr>
      </w:pPr>
      <w:r w:rsidRPr="008A6126">
        <w:rPr>
          <w:rFonts w:ascii="Times New Roman" w:hAnsi="Times New Roman" w:cs="Times New Roman"/>
          <w:sz w:val="22"/>
          <w:szCs w:val="22"/>
        </w:rPr>
        <w:t>4.0</w:t>
      </w:r>
      <w:r w:rsidRPr="008A6126">
        <w:rPr>
          <w:rFonts w:ascii="Times New Roman" w:hAnsi="Times New Roman" w:cs="Times New Roman"/>
          <w:sz w:val="22"/>
          <w:szCs w:val="22"/>
        </w:rPr>
        <w:tab/>
        <w:t>Document Quality</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Correct grammar and spellings.</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Sentences and wording is clear.</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Numbering and cross references correct.</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Requirements in one section not in conflict with requirements in other section.</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 xml:space="preserve">Document conforms to </w:t>
      </w:r>
      <w:r>
        <w:rPr>
          <w:rFonts w:ascii="Times New Roman" w:hAnsi="Times New Roman"/>
          <w:sz w:val="22"/>
          <w:szCs w:val="22"/>
        </w:rPr>
        <w:t>ESM Chapter Section Z10 Attachment F</w:t>
      </w:r>
      <w:r w:rsidRPr="008A6126">
        <w:rPr>
          <w:rFonts w:ascii="Times New Roman" w:hAnsi="Times New Roman"/>
          <w:sz w:val="22"/>
          <w:szCs w:val="22"/>
        </w:rPr>
        <w:t>.</w:t>
      </w:r>
    </w:p>
    <w:p w:rsidR="00901E37" w:rsidRPr="008A6126" w:rsidRDefault="00901E37" w:rsidP="00901E37">
      <w:pPr>
        <w:pStyle w:val="ProcBulletListFirstLevel"/>
        <w:ind w:hanging="360"/>
        <w:rPr>
          <w:rFonts w:ascii="Times New Roman" w:hAnsi="Times New Roman"/>
          <w:sz w:val="22"/>
          <w:szCs w:val="22"/>
        </w:rPr>
      </w:pPr>
      <w:r w:rsidRPr="008A6126">
        <w:rPr>
          <w:rFonts w:ascii="Times New Roman" w:hAnsi="Times New Roman"/>
          <w:sz w:val="22"/>
          <w:szCs w:val="22"/>
        </w:rPr>
        <w:t>Completed approval signature sheet.</w:t>
      </w:r>
    </w:p>
    <w:p w:rsidR="00901E37" w:rsidRPr="008A6126" w:rsidRDefault="00901E37" w:rsidP="00901E37">
      <w:pPr>
        <w:pStyle w:val="ProcHeading2"/>
        <w:rPr>
          <w:rFonts w:ascii="Times New Roman" w:hAnsi="Times New Roman" w:cs="Times New Roman"/>
          <w:sz w:val="22"/>
          <w:szCs w:val="22"/>
        </w:rPr>
      </w:pPr>
      <w:r w:rsidRPr="008A6126">
        <w:rPr>
          <w:rFonts w:ascii="Times New Roman" w:hAnsi="Times New Roman" w:cs="Times New Roman"/>
          <w:sz w:val="22"/>
          <w:szCs w:val="22"/>
        </w:rPr>
        <w:t>5.0</w:t>
      </w:r>
      <w:r w:rsidRPr="008A6126">
        <w:rPr>
          <w:rFonts w:ascii="Times New Roman" w:hAnsi="Times New Roman" w:cs="Times New Roman"/>
          <w:sz w:val="22"/>
          <w:szCs w:val="22"/>
        </w:rPr>
        <w:tab/>
        <w:t>Attachments</w:t>
      </w:r>
    </w:p>
    <w:p w:rsidR="00901E37" w:rsidRDefault="00901E37" w:rsidP="00901E37">
      <w:pPr>
        <w:pStyle w:val="ProcBulletListFirstLevel"/>
        <w:numPr>
          <w:ilvl w:val="0"/>
          <w:numId w:val="4"/>
        </w:numPr>
        <w:tabs>
          <w:tab w:val="left" w:pos="1080"/>
        </w:tabs>
        <w:ind w:left="1080"/>
        <w:rPr>
          <w:rFonts w:ascii="Times New Roman" w:hAnsi="Times New Roman"/>
          <w:sz w:val="22"/>
          <w:szCs w:val="22"/>
        </w:rPr>
      </w:pPr>
      <w:r w:rsidRPr="00B30F46">
        <w:rPr>
          <w:rFonts w:ascii="Times New Roman" w:hAnsi="Times New Roman"/>
          <w:sz w:val="22"/>
          <w:szCs w:val="22"/>
        </w:rPr>
        <w:t>Attachments are listed by attachment title or number and revision status, and attached in the same order as listed.</w:t>
      </w:r>
    </w:p>
    <w:p w:rsidR="00901E37" w:rsidRPr="00B30F46" w:rsidRDefault="00901E37" w:rsidP="00901E37">
      <w:pPr>
        <w:pStyle w:val="ProcBulletListFirstLevel"/>
        <w:numPr>
          <w:ilvl w:val="0"/>
          <w:numId w:val="4"/>
        </w:numPr>
        <w:tabs>
          <w:tab w:val="left" w:pos="1080"/>
        </w:tabs>
        <w:ind w:left="1080"/>
        <w:rPr>
          <w:rFonts w:ascii="Times New Roman" w:hAnsi="Times New Roman"/>
          <w:sz w:val="22"/>
          <w:szCs w:val="22"/>
        </w:rPr>
      </w:pPr>
      <w:r w:rsidRPr="00B30F46">
        <w:rPr>
          <w:rFonts w:ascii="Times New Roman" w:hAnsi="Times New Roman"/>
          <w:sz w:val="22"/>
          <w:szCs w:val="22"/>
        </w:rPr>
        <w:t>Each page of attachments includes attachment number, revision number, specification number, and page number.</w:t>
      </w:r>
    </w:p>
    <w:p w:rsidR="00F11FD8" w:rsidRDefault="00F11FD8"/>
    <w:sectPr w:rsidR="00F11FD8" w:rsidSect="00901E37">
      <w:head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37" w:rsidRDefault="00901E37" w:rsidP="00901E37">
      <w:pPr>
        <w:spacing w:after="0" w:line="240" w:lineRule="auto"/>
      </w:pPr>
      <w:r>
        <w:separator/>
      </w:r>
    </w:p>
  </w:endnote>
  <w:endnote w:type="continuationSeparator" w:id="0">
    <w:p w:rsidR="00901E37" w:rsidRDefault="00901E37" w:rsidP="0090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37" w:rsidRDefault="00901E37" w:rsidP="00901E37">
      <w:pPr>
        <w:spacing w:after="0" w:line="240" w:lineRule="auto"/>
      </w:pPr>
      <w:r>
        <w:separator/>
      </w:r>
    </w:p>
  </w:footnote>
  <w:footnote w:type="continuationSeparator" w:id="0">
    <w:p w:rsidR="00901E37" w:rsidRDefault="00901E37" w:rsidP="00901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37" w:rsidRPr="009A1A45" w:rsidRDefault="00901E37" w:rsidP="00901E37">
    <w:pPr>
      <w:pStyle w:val="Header"/>
      <w:pBdr>
        <w:bottom w:val="single" w:sz="4" w:space="1" w:color="auto"/>
      </w:pBdr>
      <w:rPr>
        <w:rFonts w:ascii="Arial" w:hAnsi="Arial" w:cs="Arial"/>
        <w:b/>
        <w:bCs/>
        <w:color w:val="000000"/>
      </w:rPr>
    </w:pPr>
    <w:r w:rsidRPr="009A1A45">
      <w:rPr>
        <w:rFonts w:ascii="Arial" w:hAnsi="Arial" w:cs="Arial"/>
        <w:b/>
        <w:bCs/>
        <w:color w:val="0000FF"/>
        <w:sz w:val="36"/>
        <w:szCs w:val="36"/>
      </w:rPr>
      <w:t>LANL</w:t>
    </w:r>
    <w:r w:rsidRPr="00142829">
      <w:rPr>
        <w:rFonts w:ascii="Arial" w:hAnsi="Arial" w:cs="Arial"/>
        <w:b/>
        <w:bCs/>
        <w:color w:val="0000FF"/>
        <w:sz w:val="28"/>
        <w:szCs w:val="28"/>
      </w:rPr>
      <w:t xml:space="preserve"> </w:t>
    </w:r>
    <w:r>
      <w:rPr>
        <w:rFonts w:ascii="Arial" w:hAnsi="Arial" w:cs="Arial"/>
        <w:b/>
        <w:bCs/>
        <w:color w:val="000000"/>
      </w:rPr>
      <w:t>Engineering Standards</w:t>
    </w:r>
    <w:r w:rsidRPr="009A1A45">
      <w:rPr>
        <w:rFonts w:ascii="Arial" w:hAnsi="Arial" w:cs="Arial"/>
        <w:b/>
        <w:bCs/>
        <w:color w:val="000000"/>
      </w:rPr>
      <w:t xml:space="preserve"> Manual</w:t>
    </w:r>
    <w:r w:rsidRPr="009A1A45">
      <w:rPr>
        <w:rFonts w:ascii="Arial" w:hAnsi="Arial" w:cs="Arial"/>
        <w:b/>
        <w:bCs/>
        <w:color w:val="000000"/>
      </w:rPr>
      <w:tab/>
    </w:r>
    <w:r>
      <w:rPr>
        <w:rFonts w:ascii="Arial" w:hAnsi="Arial" w:cs="Arial"/>
        <w:b/>
        <w:bCs/>
        <w:color w:val="000000"/>
      </w:rPr>
      <w:t xml:space="preserve"> STD-342-100</w:t>
    </w:r>
    <w:r w:rsidRPr="009A1A45">
      <w:rPr>
        <w:rFonts w:ascii="Arial" w:hAnsi="Arial" w:cs="Arial"/>
        <w:b/>
        <w:bCs/>
        <w:color w:val="000000"/>
      </w:rPr>
      <w:t xml:space="preserve">                 </w:t>
    </w:r>
    <w:r>
      <w:rPr>
        <w:rFonts w:ascii="Arial" w:hAnsi="Arial" w:cs="Arial"/>
        <w:b/>
        <w:bCs/>
        <w:color w:val="000000"/>
      </w:rPr>
      <w:tab/>
      <w:t>Chapter 1 General</w:t>
    </w:r>
  </w:p>
  <w:p w:rsidR="00901E37" w:rsidRPr="00901E37" w:rsidRDefault="00901E37" w:rsidP="00901E37">
    <w:pPr>
      <w:tabs>
        <w:tab w:val="right" w:pos="9360"/>
      </w:tabs>
      <w:autoSpaceDE w:val="0"/>
      <w:autoSpaceDN w:val="0"/>
      <w:adjustRightInd w:val="0"/>
      <w:rPr>
        <w:rFonts w:ascii="Arial" w:hAnsi="Arial" w:cs="Arial"/>
        <w:color w:val="000000"/>
        <w:sz w:val="20"/>
        <w:szCs w:val="20"/>
      </w:rPr>
    </w:pPr>
    <w:r w:rsidRPr="00FC77AF">
      <w:rPr>
        <w:rFonts w:ascii="Arial" w:hAnsi="Arial" w:cs="Arial"/>
        <w:b/>
        <w:bCs/>
        <w:color w:val="000000"/>
        <w:sz w:val="20"/>
        <w:szCs w:val="20"/>
      </w:rPr>
      <w:t>Section Z10 Att</w:t>
    </w:r>
    <w:r>
      <w:rPr>
        <w:rFonts w:ascii="Arial" w:hAnsi="Arial" w:cs="Arial"/>
        <w:b/>
        <w:bCs/>
        <w:color w:val="000000"/>
        <w:sz w:val="20"/>
        <w:szCs w:val="20"/>
      </w:rPr>
      <w:t>achment</w:t>
    </w:r>
    <w:r w:rsidRPr="00FC77AF">
      <w:rPr>
        <w:rFonts w:ascii="Arial" w:hAnsi="Arial" w:cs="Arial"/>
        <w:b/>
        <w:bCs/>
        <w:color w:val="000000"/>
        <w:sz w:val="20"/>
        <w:szCs w:val="20"/>
      </w:rPr>
      <w:t xml:space="preserve"> F Specifications </w:t>
    </w:r>
    <w:r w:rsidRPr="009A1A45">
      <w:rPr>
        <w:rFonts w:ascii="Arial" w:hAnsi="Arial" w:cs="Arial"/>
        <w:b/>
        <w:bCs/>
        <w:color w:val="000000"/>
      </w:rPr>
      <w:tab/>
    </w:r>
    <w:r w:rsidRPr="00FC77AF">
      <w:rPr>
        <w:rFonts w:ascii="Arial" w:hAnsi="Arial" w:cs="Arial"/>
        <w:color w:val="000000"/>
        <w:sz w:val="20"/>
        <w:szCs w:val="20"/>
      </w:rPr>
      <w:t xml:space="preserve">Rev. </w:t>
    </w:r>
    <w:r>
      <w:rPr>
        <w:rFonts w:ascii="Arial" w:hAnsi="Arial" w:cs="Arial"/>
        <w:color w:val="000000"/>
        <w:sz w:val="20"/>
        <w:szCs w:val="20"/>
      </w:rPr>
      <w:t>1, 03/23/2015</w:t>
    </w:r>
    <w:r>
      <w:rPr>
        <w:rFonts w:ascii="Arial" w:hAnsi="Arial" w:cs="Arial"/>
        <w:color w:val="000000"/>
        <w:sz w:val="20"/>
        <w:szCs w:val="20"/>
      </w:rPr>
      <w:br/>
    </w:r>
    <w:r w:rsidRPr="00F61927">
      <w:rPr>
        <w:rFonts w:ascii="Arial" w:hAnsi="Arial" w:cs="Arial"/>
        <w:b/>
        <w:sz w:val="20"/>
      </w:rPr>
      <w:t>Appendix B, Engin</w:t>
    </w:r>
    <w:r>
      <w:rPr>
        <w:rFonts w:ascii="Arial" w:hAnsi="Arial" w:cs="Arial"/>
        <w:b/>
        <w:sz w:val="20"/>
      </w:rPr>
      <w:t>eering Specifications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269"/>
    <w:multiLevelType w:val="multilevel"/>
    <w:tmpl w:val="6298FDBA"/>
    <w:lvl w:ilvl="0">
      <w:start w:val="1"/>
      <w:numFmt w:val="decimal"/>
      <w:pStyle w:val="Heading1"/>
      <w:lvlText w:val="%1.0"/>
      <w:lvlJc w:val="left"/>
      <w:pPr>
        <w:tabs>
          <w:tab w:val="num" w:pos="720"/>
        </w:tabs>
        <w:ind w:left="720" w:hanging="720"/>
      </w:pPr>
      <w:rPr>
        <w:rFonts w:ascii="Times New Roman" w:hAnsi="Times New Roman" w:hint="default"/>
        <w:b/>
        <w:i w:val="0"/>
        <w:sz w:val="28"/>
      </w:rPr>
    </w:lvl>
    <w:lvl w:ilvl="1">
      <w:start w:val="1"/>
      <w:numFmt w:val="decimal"/>
      <w:pStyle w:val="Heading2"/>
      <w:lvlText w:val="%2."/>
      <w:lvlJc w:val="left"/>
      <w:pPr>
        <w:tabs>
          <w:tab w:val="num" w:pos="720"/>
        </w:tabs>
        <w:ind w:left="720" w:hanging="720"/>
      </w:pPr>
      <w:rPr>
        <w:rFonts w:ascii="Times New Roman" w:eastAsia="Times New Roman" w:hAnsi="Times New Roman" w:cs="Times New Roman"/>
        <w:b/>
        <w:i w:val="0"/>
        <w:sz w:val="22"/>
        <w:szCs w:val="22"/>
      </w:rPr>
    </w:lvl>
    <w:lvl w:ilvl="2">
      <w:start w:val="1"/>
      <w:numFmt w:val="decimal"/>
      <w:pStyle w:val="StyleHeading3TimesNewRoman11ptBold"/>
      <w:lvlText w:val="%1.%2.%3"/>
      <w:lvlJc w:val="left"/>
      <w:pPr>
        <w:tabs>
          <w:tab w:val="num" w:pos="1080"/>
        </w:tabs>
        <w:ind w:left="1080" w:hanging="1080"/>
      </w:pPr>
      <w:rPr>
        <w:rFonts w:ascii="Times New Roman" w:hAnsi="Times New Roman" w:hint="default"/>
        <w:b/>
        <w:i w:val="0"/>
        <w:sz w:val="22"/>
        <w:szCs w:val="22"/>
      </w:rPr>
    </w:lvl>
    <w:lvl w:ilvl="3">
      <w:start w:val="1"/>
      <w:numFmt w:val="decimal"/>
      <w:pStyle w:val="Heading4"/>
      <w:lvlText w:val="%1.%2.%3.%4"/>
      <w:lvlJc w:val="left"/>
      <w:pPr>
        <w:tabs>
          <w:tab w:val="num" w:pos="1080"/>
        </w:tabs>
        <w:ind w:left="1080" w:hanging="1080"/>
      </w:pPr>
      <w:rPr>
        <w:rFonts w:ascii="Times New Roman" w:hAnsi="Times New Roman" w:hint="default"/>
        <w:b/>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4AE031A"/>
    <w:multiLevelType w:val="hybridMultilevel"/>
    <w:tmpl w:val="576082DE"/>
    <w:lvl w:ilvl="0" w:tplc="A3080368">
      <w:start w:val="1"/>
      <w:numFmt w:val="bullet"/>
      <w:lvlText w:val="•"/>
      <w:lvlJc w:val="left"/>
      <w:pPr>
        <w:ind w:left="1224" w:hanging="360"/>
      </w:pPr>
      <w:rPr>
        <w:rFonts w:ascii="Arial" w:hAnsi="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D1C6289"/>
    <w:multiLevelType w:val="hybridMultilevel"/>
    <w:tmpl w:val="C1AED21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493F44F1"/>
    <w:multiLevelType w:val="singleLevel"/>
    <w:tmpl w:val="C414E0C6"/>
    <w:lvl w:ilvl="0">
      <w:start w:val="1"/>
      <w:numFmt w:val="bullet"/>
      <w:pStyle w:val="ProcBulletListFirstLevel"/>
      <w:lvlText w:val="▪"/>
      <w:lvlJc w:val="left"/>
      <w:pPr>
        <w:tabs>
          <w:tab w:val="num" w:pos="1087"/>
        </w:tabs>
        <w:ind w:left="1087" w:hanging="180"/>
      </w:pPr>
      <w:rPr>
        <w:rFonts w:ascii="Arial" w:hAnsi="Arial" w:hint="default"/>
        <w:sz w:val="20"/>
        <w:szCs w:val="18"/>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37"/>
    <w:rsid w:val="001660B8"/>
    <w:rsid w:val="00901E37"/>
    <w:rsid w:val="00F1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1E37"/>
    <w:pPr>
      <w:keepNext/>
      <w:numPr>
        <w:numId w:val="1"/>
      </w:numPr>
      <w:spacing w:before="120" w:after="120" w:line="240" w:lineRule="auto"/>
      <w:outlineLvl w:val="0"/>
    </w:pPr>
    <w:rPr>
      <w:rFonts w:ascii="Times New Roman" w:eastAsia="Times New Roman" w:hAnsi="Times New Roman" w:cs="Times New Roman"/>
      <w:b/>
      <w:smallCaps/>
      <w:kern w:val="28"/>
      <w:sz w:val="28"/>
      <w:szCs w:val="20"/>
    </w:rPr>
  </w:style>
  <w:style w:type="paragraph" w:styleId="Heading2">
    <w:name w:val="heading 2"/>
    <w:basedOn w:val="Normal"/>
    <w:next w:val="Normal"/>
    <w:link w:val="Heading2Char"/>
    <w:qFormat/>
    <w:rsid w:val="00901E37"/>
    <w:pPr>
      <w:keepNext/>
      <w:numPr>
        <w:ilvl w:val="1"/>
        <w:numId w:val="1"/>
      </w:numPr>
      <w:spacing w:before="240" w:after="120" w:line="240" w:lineRule="auto"/>
      <w:outlineLvl w:val="1"/>
    </w:pPr>
    <w:rPr>
      <w:rFonts w:ascii="Times New Roman" w:eastAsia="Times New Roman" w:hAnsi="Times New Roman" w:cs="Times New Roman"/>
      <w:b/>
    </w:rPr>
  </w:style>
  <w:style w:type="paragraph" w:styleId="Heading3">
    <w:name w:val="heading 3"/>
    <w:basedOn w:val="Normal"/>
    <w:next w:val="Normal"/>
    <w:link w:val="Heading3Char"/>
    <w:uiPriority w:val="9"/>
    <w:semiHidden/>
    <w:unhideWhenUsed/>
    <w:qFormat/>
    <w:rsid w:val="00901E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01E37"/>
    <w:pPr>
      <w:keepNext/>
      <w:numPr>
        <w:ilvl w:val="3"/>
        <w:numId w:val="1"/>
      </w:numPr>
      <w:spacing w:before="240" w:after="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901E37"/>
    <w:pPr>
      <w:numPr>
        <w:ilvl w:val="4"/>
        <w:numId w:val="1"/>
      </w:numPr>
      <w:spacing w:before="240"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901E37"/>
    <w:pPr>
      <w:numPr>
        <w:ilvl w:val="5"/>
        <w:numId w:val="1"/>
      </w:numPr>
      <w:spacing w:before="240" w:after="0" w:line="240" w:lineRule="auto"/>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qFormat/>
    <w:rsid w:val="00901E37"/>
    <w:pPr>
      <w:numPr>
        <w:ilvl w:val="6"/>
        <w:numId w:val="1"/>
      </w:numPr>
      <w:spacing w:before="240" w:after="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01E37"/>
    <w:pPr>
      <w:numPr>
        <w:ilvl w:val="7"/>
        <w:numId w:val="1"/>
      </w:numPr>
      <w:spacing w:before="240" w:after="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01E37"/>
    <w:pPr>
      <w:numPr>
        <w:ilvl w:val="8"/>
        <w:numId w:val="1"/>
      </w:numPr>
      <w:spacing w:before="240" w:after="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E37"/>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901E37"/>
    <w:rPr>
      <w:rFonts w:ascii="Times New Roman" w:eastAsia="Times New Roman" w:hAnsi="Times New Roman" w:cs="Times New Roman"/>
      <w:b/>
    </w:rPr>
  </w:style>
  <w:style w:type="character" w:customStyle="1" w:styleId="Heading4Char">
    <w:name w:val="Heading 4 Char"/>
    <w:basedOn w:val="DefaultParagraphFont"/>
    <w:link w:val="Heading4"/>
    <w:rsid w:val="00901E37"/>
    <w:rPr>
      <w:rFonts w:ascii="Arial" w:eastAsia="Times New Roman" w:hAnsi="Arial" w:cs="Times New Roman"/>
      <w:b/>
      <w:sz w:val="24"/>
      <w:szCs w:val="20"/>
    </w:rPr>
  </w:style>
  <w:style w:type="character" w:customStyle="1" w:styleId="Heading5Char">
    <w:name w:val="Heading 5 Char"/>
    <w:basedOn w:val="DefaultParagraphFont"/>
    <w:link w:val="Heading5"/>
    <w:rsid w:val="00901E37"/>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901E37"/>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901E37"/>
    <w:rPr>
      <w:rFonts w:ascii="Arial" w:eastAsia="Times New Roman" w:hAnsi="Arial" w:cs="Times New Roman"/>
      <w:sz w:val="20"/>
      <w:szCs w:val="20"/>
    </w:rPr>
  </w:style>
  <w:style w:type="character" w:customStyle="1" w:styleId="Heading8Char">
    <w:name w:val="Heading 8 Char"/>
    <w:basedOn w:val="DefaultParagraphFont"/>
    <w:link w:val="Heading8"/>
    <w:rsid w:val="00901E37"/>
    <w:rPr>
      <w:rFonts w:ascii="Arial" w:eastAsia="Times New Roman" w:hAnsi="Arial" w:cs="Times New Roman"/>
      <w:i/>
      <w:sz w:val="20"/>
      <w:szCs w:val="20"/>
    </w:rPr>
  </w:style>
  <w:style w:type="character" w:customStyle="1" w:styleId="Heading9Char">
    <w:name w:val="Heading 9 Char"/>
    <w:basedOn w:val="DefaultParagraphFont"/>
    <w:link w:val="Heading9"/>
    <w:rsid w:val="00901E37"/>
    <w:rPr>
      <w:rFonts w:ascii="Arial" w:eastAsia="Times New Roman" w:hAnsi="Arial" w:cs="Times New Roman"/>
      <w:b/>
      <w:i/>
      <w:sz w:val="18"/>
      <w:szCs w:val="20"/>
    </w:rPr>
  </w:style>
  <w:style w:type="paragraph" w:customStyle="1" w:styleId="StyleHeading3TimesNewRoman11ptBold">
    <w:name w:val="Style Heading 3 + Times New Roman 11 pt Bold"/>
    <w:basedOn w:val="Heading3"/>
    <w:next w:val="Normal"/>
    <w:rsid w:val="00901E37"/>
    <w:pPr>
      <w:keepNext w:val="0"/>
      <w:widowControl w:val="0"/>
      <w:numPr>
        <w:ilvl w:val="2"/>
        <w:numId w:val="1"/>
      </w:numPr>
      <w:tabs>
        <w:tab w:val="clear" w:pos="1080"/>
        <w:tab w:val="num" w:pos="360"/>
      </w:tabs>
      <w:spacing w:before="240" w:after="120" w:line="240" w:lineRule="auto"/>
      <w:ind w:left="0" w:firstLine="0"/>
    </w:pPr>
    <w:rPr>
      <w:rFonts w:ascii="Times New Roman" w:eastAsia="Times New Roman" w:hAnsi="Times New Roman" w:cs="Times New Roman"/>
      <w:color w:val="auto"/>
      <w:szCs w:val="20"/>
    </w:rPr>
  </w:style>
  <w:style w:type="paragraph" w:customStyle="1" w:styleId="ProcBodyText">
    <w:name w:val="Proc_BodyText"/>
    <w:link w:val="ProcBodyTextCharChar"/>
    <w:rsid w:val="00901E37"/>
    <w:pPr>
      <w:suppressAutoHyphens/>
      <w:spacing w:after="240" w:line="240" w:lineRule="exact"/>
      <w:ind w:left="720"/>
    </w:pPr>
    <w:rPr>
      <w:rFonts w:ascii="Arial" w:eastAsia="Times New Roman" w:hAnsi="Arial" w:cs="Times New Roman"/>
      <w:sz w:val="20"/>
      <w:szCs w:val="18"/>
    </w:rPr>
  </w:style>
  <w:style w:type="character" w:customStyle="1" w:styleId="ProcBodyTextCharChar">
    <w:name w:val="Proc_BodyText Char Char"/>
    <w:link w:val="ProcBodyText"/>
    <w:rsid w:val="00901E37"/>
    <w:rPr>
      <w:rFonts w:ascii="Arial" w:eastAsia="Times New Roman" w:hAnsi="Arial" w:cs="Times New Roman"/>
      <w:sz w:val="20"/>
      <w:szCs w:val="18"/>
    </w:rPr>
  </w:style>
  <w:style w:type="paragraph" w:customStyle="1" w:styleId="ProcBulletListFirstLevel">
    <w:name w:val="Proc_BulletList_First_Level"/>
    <w:link w:val="ProcBulletListFirstLevelCharChar"/>
    <w:rsid w:val="00901E37"/>
    <w:pPr>
      <w:numPr>
        <w:numId w:val="2"/>
      </w:numPr>
      <w:suppressAutoHyphens/>
      <w:spacing w:after="120" w:line="240" w:lineRule="exact"/>
      <w:ind w:left="1080" w:hanging="173"/>
    </w:pPr>
    <w:rPr>
      <w:rFonts w:ascii="Arial" w:eastAsia="Times New Roman" w:hAnsi="Arial" w:cs="Times New Roman"/>
      <w:sz w:val="20"/>
      <w:szCs w:val="18"/>
    </w:rPr>
  </w:style>
  <w:style w:type="character" w:customStyle="1" w:styleId="ProcBulletListFirstLevelCharChar">
    <w:name w:val="Proc_BulletList_First_Level Char Char"/>
    <w:link w:val="ProcBulletListFirstLevel"/>
    <w:rsid w:val="00901E37"/>
    <w:rPr>
      <w:rFonts w:ascii="Arial" w:eastAsia="Times New Roman" w:hAnsi="Arial" w:cs="Times New Roman"/>
      <w:sz w:val="20"/>
      <w:szCs w:val="18"/>
    </w:rPr>
  </w:style>
  <w:style w:type="paragraph" w:customStyle="1" w:styleId="ProcNumberList">
    <w:name w:val="Proc_NumberList"/>
    <w:rsid w:val="00901E37"/>
    <w:pPr>
      <w:tabs>
        <w:tab w:val="decimal" w:pos="1152"/>
        <w:tab w:val="left" w:pos="1260"/>
      </w:tabs>
      <w:spacing w:after="120" w:line="240" w:lineRule="exact"/>
      <w:ind w:left="1267" w:hanging="360"/>
    </w:pPr>
    <w:rPr>
      <w:rFonts w:ascii="Arial" w:eastAsia="Times New Roman" w:hAnsi="Arial" w:cs="Times New Roman"/>
      <w:sz w:val="20"/>
      <w:szCs w:val="18"/>
    </w:rPr>
  </w:style>
  <w:style w:type="paragraph" w:customStyle="1" w:styleId="ProcHeading2">
    <w:name w:val="Proc_Heading2"/>
    <w:next w:val="ProcBodyText"/>
    <w:rsid w:val="00901E37"/>
    <w:pPr>
      <w:keepNext/>
      <w:tabs>
        <w:tab w:val="left" w:pos="720"/>
      </w:tabs>
      <w:suppressAutoHyphens/>
      <w:spacing w:before="240" w:after="120" w:line="240" w:lineRule="exact"/>
      <w:ind w:left="720" w:hanging="720"/>
    </w:pPr>
    <w:rPr>
      <w:rFonts w:ascii="Arial" w:eastAsia="Times New Roman" w:hAnsi="Arial" w:cs="Arial"/>
      <w:b/>
      <w:bCs/>
      <w:iCs/>
      <w:sz w:val="20"/>
      <w:szCs w:val="28"/>
    </w:rPr>
  </w:style>
  <w:style w:type="character" w:customStyle="1" w:styleId="Heading3Char">
    <w:name w:val="Heading 3 Char"/>
    <w:basedOn w:val="DefaultParagraphFont"/>
    <w:link w:val="Heading3"/>
    <w:uiPriority w:val="9"/>
    <w:semiHidden/>
    <w:rsid w:val="00901E3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0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E37"/>
  </w:style>
  <w:style w:type="paragraph" w:styleId="Footer">
    <w:name w:val="footer"/>
    <w:basedOn w:val="Normal"/>
    <w:link w:val="FooterChar"/>
    <w:uiPriority w:val="99"/>
    <w:unhideWhenUsed/>
    <w:rsid w:val="0090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1E37"/>
    <w:pPr>
      <w:keepNext/>
      <w:numPr>
        <w:numId w:val="1"/>
      </w:numPr>
      <w:spacing w:before="120" w:after="120" w:line="240" w:lineRule="auto"/>
      <w:outlineLvl w:val="0"/>
    </w:pPr>
    <w:rPr>
      <w:rFonts w:ascii="Times New Roman" w:eastAsia="Times New Roman" w:hAnsi="Times New Roman" w:cs="Times New Roman"/>
      <w:b/>
      <w:smallCaps/>
      <w:kern w:val="28"/>
      <w:sz w:val="28"/>
      <w:szCs w:val="20"/>
    </w:rPr>
  </w:style>
  <w:style w:type="paragraph" w:styleId="Heading2">
    <w:name w:val="heading 2"/>
    <w:basedOn w:val="Normal"/>
    <w:next w:val="Normal"/>
    <w:link w:val="Heading2Char"/>
    <w:qFormat/>
    <w:rsid w:val="00901E37"/>
    <w:pPr>
      <w:keepNext/>
      <w:numPr>
        <w:ilvl w:val="1"/>
        <w:numId w:val="1"/>
      </w:numPr>
      <w:spacing w:before="240" w:after="120" w:line="240" w:lineRule="auto"/>
      <w:outlineLvl w:val="1"/>
    </w:pPr>
    <w:rPr>
      <w:rFonts w:ascii="Times New Roman" w:eastAsia="Times New Roman" w:hAnsi="Times New Roman" w:cs="Times New Roman"/>
      <w:b/>
    </w:rPr>
  </w:style>
  <w:style w:type="paragraph" w:styleId="Heading3">
    <w:name w:val="heading 3"/>
    <w:basedOn w:val="Normal"/>
    <w:next w:val="Normal"/>
    <w:link w:val="Heading3Char"/>
    <w:uiPriority w:val="9"/>
    <w:semiHidden/>
    <w:unhideWhenUsed/>
    <w:qFormat/>
    <w:rsid w:val="00901E3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01E37"/>
    <w:pPr>
      <w:keepNext/>
      <w:numPr>
        <w:ilvl w:val="3"/>
        <w:numId w:val="1"/>
      </w:numPr>
      <w:spacing w:before="240" w:after="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901E37"/>
    <w:pPr>
      <w:numPr>
        <w:ilvl w:val="4"/>
        <w:numId w:val="1"/>
      </w:numPr>
      <w:spacing w:before="240" w:after="0" w:line="240" w:lineRule="auto"/>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901E37"/>
    <w:pPr>
      <w:numPr>
        <w:ilvl w:val="5"/>
        <w:numId w:val="1"/>
      </w:numPr>
      <w:spacing w:before="240" w:after="0" w:line="240" w:lineRule="auto"/>
      <w:outlineLvl w:val="5"/>
    </w:pPr>
    <w:rPr>
      <w:rFonts w:ascii="Times New Roman" w:eastAsia="Times New Roman" w:hAnsi="Times New Roman" w:cs="Times New Roman"/>
      <w:i/>
      <w:sz w:val="20"/>
      <w:szCs w:val="20"/>
    </w:rPr>
  </w:style>
  <w:style w:type="paragraph" w:styleId="Heading7">
    <w:name w:val="heading 7"/>
    <w:basedOn w:val="Normal"/>
    <w:next w:val="Normal"/>
    <w:link w:val="Heading7Char"/>
    <w:qFormat/>
    <w:rsid w:val="00901E37"/>
    <w:pPr>
      <w:numPr>
        <w:ilvl w:val="6"/>
        <w:numId w:val="1"/>
      </w:numPr>
      <w:spacing w:before="240" w:after="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901E37"/>
    <w:pPr>
      <w:numPr>
        <w:ilvl w:val="7"/>
        <w:numId w:val="1"/>
      </w:numPr>
      <w:spacing w:before="240" w:after="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901E37"/>
    <w:pPr>
      <w:numPr>
        <w:ilvl w:val="8"/>
        <w:numId w:val="1"/>
      </w:numPr>
      <w:spacing w:before="240" w:after="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E37"/>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901E37"/>
    <w:rPr>
      <w:rFonts w:ascii="Times New Roman" w:eastAsia="Times New Roman" w:hAnsi="Times New Roman" w:cs="Times New Roman"/>
      <w:b/>
    </w:rPr>
  </w:style>
  <w:style w:type="character" w:customStyle="1" w:styleId="Heading4Char">
    <w:name w:val="Heading 4 Char"/>
    <w:basedOn w:val="DefaultParagraphFont"/>
    <w:link w:val="Heading4"/>
    <w:rsid w:val="00901E37"/>
    <w:rPr>
      <w:rFonts w:ascii="Arial" w:eastAsia="Times New Roman" w:hAnsi="Arial" w:cs="Times New Roman"/>
      <w:b/>
      <w:sz w:val="24"/>
      <w:szCs w:val="20"/>
    </w:rPr>
  </w:style>
  <w:style w:type="character" w:customStyle="1" w:styleId="Heading5Char">
    <w:name w:val="Heading 5 Char"/>
    <w:basedOn w:val="DefaultParagraphFont"/>
    <w:link w:val="Heading5"/>
    <w:rsid w:val="00901E37"/>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901E37"/>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901E37"/>
    <w:rPr>
      <w:rFonts w:ascii="Arial" w:eastAsia="Times New Roman" w:hAnsi="Arial" w:cs="Times New Roman"/>
      <w:sz w:val="20"/>
      <w:szCs w:val="20"/>
    </w:rPr>
  </w:style>
  <w:style w:type="character" w:customStyle="1" w:styleId="Heading8Char">
    <w:name w:val="Heading 8 Char"/>
    <w:basedOn w:val="DefaultParagraphFont"/>
    <w:link w:val="Heading8"/>
    <w:rsid w:val="00901E37"/>
    <w:rPr>
      <w:rFonts w:ascii="Arial" w:eastAsia="Times New Roman" w:hAnsi="Arial" w:cs="Times New Roman"/>
      <w:i/>
      <w:sz w:val="20"/>
      <w:szCs w:val="20"/>
    </w:rPr>
  </w:style>
  <w:style w:type="character" w:customStyle="1" w:styleId="Heading9Char">
    <w:name w:val="Heading 9 Char"/>
    <w:basedOn w:val="DefaultParagraphFont"/>
    <w:link w:val="Heading9"/>
    <w:rsid w:val="00901E37"/>
    <w:rPr>
      <w:rFonts w:ascii="Arial" w:eastAsia="Times New Roman" w:hAnsi="Arial" w:cs="Times New Roman"/>
      <w:b/>
      <w:i/>
      <w:sz w:val="18"/>
      <w:szCs w:val="20"/>
    </w:rPr>
  </w:style>
  <w:style w:type="paragraph" w:customStyle="1" w:styleId="StyleHeading3TimesNewRoman11ptBold">
    <w:name w:val="Style Heading 3 + Times New Roman 11 pt Bold"/>
    <w:basedOn w:val="Heading3"/>
    <w:next w:val="Normal"/>
    <w:rsid w:val="00901E37"/>
    <w:pPr>
      <w:keepNext w:val="0"/>
      <w:widowControl w:val="0"/>
      <w:numPr>
        <w:ilvl w:val="2"/>
        <w:numId w:val="1"/>
      </w:numPr>
      <w:tabs>
        <w:tab w:val="clear" w:pos="1080"/>
        <w:tab w:val="num" w:pos="360"/>
      </w:tabs>
      <w:spacing w:before="240" w:after="120" w:line="240" w:lineRule="auto"/>
      <w:ind w:left="0" w:firstLine="0"/>
    </w:pPr>
    <w:rPr>
      <w:rFonts w:ascii="Times New Roman" w:eastAsia="Times New Roman" w:hAnsi="Times New Roman" w:cs="Times New Roman"/>
      <w:color w:val="auto"/>
      <w:szCs w:val="20"/>
    </w:rPr>
  </w:style>
  <w:style w:type="paragraph" w:customStyle="1" w:styleId="ProcBodyText">
    <w:name w:val="Proc_BodyText"/>
    <w:link w:val="ProcBodyTextCharChar"/>
    <w:rsid w:val="00901E37"/>
    <w:pPr>
      <w:suppressAutoHyphens/>
      <w:spacing w:after="240" w:line="240" w:lineRule="exact"/>
      <w:ind w:left="720"/>
    </w:pPr>
    <w:rPr>
      <w:rFonts w:ascii="Arial" w:eastAsia="Times New Roman" w:hAnsi="Arial" w:cs="Times New Roman"/>
      <w:sz w:val="20"/>
      <w:szCs w:val="18"/>
    </w:rPr>
  </w:style>
  <w:style w:type="character" w:customStyle="1" w:styleId="ProcBodyTextCharChar">
    <w:name w:val="Proc_BodyText Char Char"/>
    <w:link w:val="ProcBodyText"/>
    <w:rsid w:val="00901E37"/>
    <w:rPr>
      <w:rFonts w:ascii="Arial" w:eastAsia="Times New Roman" w:hAnsi="Arial" w:cs="Times New Roman"/>
      <w:sz w:val="20"/>
      <w:szCs w:val="18"/>
    </w:rPr>
  </w:style>
  <w:style w:type="paragraph" w:customStyle="1" w:styleId="ProcBulletListFirstLevel">
    <w:name w:val="Proc_BulletList_First_Level"/>
    <w:link w:val="ProcBulletListFirstLevelCharChar"/>
    <w:rsid w:val="00901E37"/>
    <w:pPr>
      <w:numPr>
        <w:numId w:val="2"/>
      </w:numPr>
      <w:suppressAutoHyphens/>
      <w:spacing w:after="120" w:line="240" w:lineRule="exact"/>
      <w:ind w:left="1080" w:hanging="173"/>
    </w:pPr>
    <w:rPr>
      <w:rFonts w:ascii="Arial" w:eastAsia="Times New Roman" w:hAnsi="Arial" w:cs="Times New Roman"/>
      <w:sz w:val="20"/>
      <w:szCs w:val="18"/>
    </w:rPr>
  </w:style>
  <w:style w:type="character" w:customStyle="1" w:styleId="ProcBulletListFirstLevelCharChar">
    <w:name w:val="Proc_BulletList_First_Level Char Char"/>
    <w:link w:val="ProcBulletListFirstLevel"/>
    <w:rsid w:val="00901E37"/>
    <w:rPr>
      <w:rFonts w:ascii="Arial" w:eastAsia="Times New Roman" w:hAnsi="Arial" w:cs="Times New Roman"/>
      <w:sz w:val="20"/>
      <w:szCs w:val="18"/>
    </w:rPr>
  </w:style>
  <w:style w:type="paragraph" w:customStyle="1" w:styleId="ProcNumberList">
    <w:name w:val="Proc_NumberList"/>
    <w:rsid w:val="00901E37"/>
    <w:pPr>
      <w:tabs>
        <w:tab w:val="decimal" w:pos="1152"/>
        <w:tab w:val="left" w:pos="1260"/>
      </w:tabs>
      <w:spacing w:after="120" w:line="240" w:lineRule="exact"/>
      <w:ind w:left="1267" w:hanging="360"/>
    </w:pPr>
    <w:rPr>
      <w:rFonts w:ascii="Arial" w:eastAsia="Times New Roman" w:hAnsi="Arial" w:cs="Times New Roman"/>
      <w:sz w:val="20"/>
      <w:szCs w:val="18"/>
    </w:rPr>
  </w:style>
  <w:style w:type="paragraph" w:customStyle="1" w:styleId="ProcHeading2">
    <w:name w:val="Proc_Heading2"/>
    <w:next w:val="ProcBodyText"/>
    <w:rsid w:val="00901E37"/>
    <w:pPr>
      <w:keepNext/>
      <w:tabs>
        <w:tab w:val="left" w:pos="720"/>
      </w:tabs>
      <w:suppressAutoHyphens/>
      <w:spacing w:before="240" w:after="120" w:line="240" w:lineRule="exact"/>
      <w:ind w:left="720" w:hanging="720"/>
    </w:pPr>
    <w:rPr>
      <w:rFonts w:ascii="Arial" w:eastAsia="Times New Roman" w:hAnsi="Arial" w:cs="Arial"/>
      <w:b/>
      <w:bCs/>
      <w:iCs/>
      <w:sz w:val="20"/>
      <w:szCs w:val="28"/>
    </w:rPr>
  </w:style>
  <w:style w:type="character" w:customStyle="1" w:styleId="Heading3Char">
    <w:name w:val="Heading 3 Char"/>
    <w:basedOn w:val="DefaultParagraphFont"/>
    <w:link w:val="Heading3"/>
    <w:uiPriority w:val="9"/>
    <w:semiHidden/>
    <w:rsid w:val="00901E3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0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E37"/>
  </w:style>
  <w:style w:type="paragraph" w:styleId="Footer">
    <w:name w:val="footer"/>
    <w:basedOn w:val="Normal"/>
    <w:link w:val="FooterChar"/>
    <w:uiPriority w:val="99"/>
    <w:unhideWhenUsed/>
    <w:rsid w:val="0090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Office Word</Application>
  <DocSecurity>0</DocSecurity>
  <Lines>29</Lines>
  <Paragraphs>8</Paragraphs>
  <ScaleCrop>false</ScaleCrop>
  <Company>Los Alamos National Laboratory</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 User</dc:creator>
  <cp:lastModifiedBy>DDS User</cp:lastModifiedBy>
  <cp:revision>1</cp:revision>
  <dcterms:created xsi:type="dcterms:W3CDTF">2015-03-24T20:59:00Z</dcterms:created>
  <dcterms:modified xsi:type="dcterms:W3CDTF">2015-03-24T21:00:00Z</dcterms:modified>
</cp:coreProperties>
</file>