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6F" w:rsidRDefault="009B786F" w:rsidP="00200A03">
      <w:pPr>
        <w:jc w:val="center"/>
        <w:rPr>
          <w:b/>
        </w:rPr>
      </w:pPr>
      <w:r w:rsidRPr="00200A03">
        <w:rPr>
          <w:b/>
        </w:rPr>
        <w:t>ASME B31.</w:t>
      </w:r>
      <w:r w:rsidR="003C47DF">
        <w:rPr>
          <w:b/>
        </w:rPr>
        <w:t>9</w:t>
      </w:r>
      <w:r w:rsidR="004D0AAD">
        <w:rPr>
          <w:b/>
        </w:rPr>
        <w:t xml:space="preserve"> </w:t>
      </w:r>
      <w:r w:rsidR="005B7DE7">
        <w:rPr>
          <w:b/>
        </w:rPr>
        <w:t>Component</w:t>
      </w:r>
      <w:r w:rsidRPr="00200A03">
        <w:rPr>
          <w:b/>
        </w:rPr>
        <w:t xml:space="preserve"> Evaluation</w:t>
      </w:r>
    </w:p>
    <w:p w:rsidR="009B786F" w:rsidRDefault="003C47DF" w:rsidP="008B585A">
      <w:pPr>
        <w:jc w:val="center"/>
        <w:rPr>
          <w:b/>
        </w:rPr>
      </w:pPr>
      <w:r>
        <w:rPr>
          <w:b/>
        </w:rPr>
        <w:t>Evaluation per 9</w:t>
      </w:r>
      <w:r w:rsidR="008B585A" w:rsidRPr="008B585A">
        <w:rPr>
          <w:b/>
        </w:rPr>
        <w:t>04.7</w:t>
      </w:r>
      <w:r w:rsidR="004C6E72">
        <w:rPr>
          <w:b/>
        </w:rPr>
        <w:t>.2</w:t>
      </w:r>
      <w:r w:rsidR="004D0AAD">
        <w:rPr>
          <w:b/>
        </w:rPr>
        <w:t>*</w:t>
      </w:r>
    </w:p>
    <w:p w:rsidR="003C47DF" w:rsidRPr="003C47DF" w:rsidRDefault="003C47DF" w:rsidP="008B585A">
      <w:r w:rsidRPr="003C47DF">
        <w:t>Does the pressure system meet the requirement of NASME-2, B31.9 Equivalent Safety Evaluation</w:t>
      </w:r>
      <w:r>
        <w:t>?</w:t>
      </w:r>
      <w:r w:rsidR="007762EC">
        <w:t xml:space="preserve">  If yes, go to page 2</w:t>
      </w:r>
      <w:r w:rsidR="00663B43">
        <w:t xml:space="preserve"> and ev</w:t>
      </w:r>
      <w:r w:rsidR="007762EC">
        <w:t>aluate per NASME-2.</w:t>
      </w:r>
    </w:p>
    <w:p w:rsidR="003C47DF" w:rsidRDefault="003C47DF" w:rsidP="008B585A">
      <w:pPr>
        <w:rPr>
          <w:b/>
        </w:rPr>
      </w:pPr>
    </w:p>
    <w:p w:rsidR="008B585A" w:rsidRPr="008B585A" w:rsidRDefault="008B585A" w:rsidP="008B585A">
      <w:r>
        <w:t>Pr</w:t>
      </w:r>
      <w:r w:rsidR="004C6E72">
        <w:t>ovide</w:t>
      </w:r>
      <w:r w:rsidR="004D0AAD">
        <w:t xml:space="preserve"> information for ASME B31.9</w:t>
      </w:r>
      <w:r w:rsidR="004C6E72">
        <w:t xml:space="preserve"> </w:t>
      </w:r>
      <w:r>
        <w:t>compliance per item 1</w:t>
      </w:r>
      <w:r w:rsidR="004C6E72">
        <w:t>, 2, or</w:t>
      </w:r>
      <w:r w:rsidR="007762EC">
        <w:t xml:space="preserve"> </w:t>
      </w:r>
      <w:r w:rsidR="004C6E72">
        <w:t>3</w:t>
      </w:r>
      <w:r w:rsidR="007762EC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6930"/>
        <w:gridCol w:w="1908"/>
      </w:tblGrid>
      <w:tr w:rsidR="009B786F" w:rsidRPr="00FE02FE" w:rsidTr="009210A4">
        <w:tc>
          <w:tcPr>
            <w:tcW w:w="738" w:type="dxa"/>
          </w:tcPr>
          <w:p w:rsidR="009B786F" w:rsidRPr="00FE02FE" w:rsidRDefault="009B786F" w:rsidP="00FE02FE">
            <w:pPr>
              <w:jc w:val="center"/>
              <w:rPr>
                <w:b/>
              </w:rPr>
            </w:pPr>
            <w:r w:rsidRPr="00FE02FE">
              <w:rPr>
                <w:b/>
              </w:rPr>
              <w:t>Item</w:t>
            </w:r>
          </w:p>
        </w:tc>
        <w:tc>
          <w:tcPr>
            <w:tcW w:w="6930" w:type="dxa"/>
          </w:tcPr>
          <w:p w:rsidR="009B786F" w:rsidRPr="00FE02FE" w:rsidRDefault="009B786F" w:rsidP="00FE02FE">
            <w:pPr>
              <w:jc w:val="center"/>
              <w:rPr>
                <w:b/>
              </w:rPr>
            </w:pPr>
            <w:r w:rsidRPr="00FE02FE">
              <w:rPr>
                <w:b/>
              </w:rPr>
              <w:t>Requirement</w:t>
            </w:r>
          </w:p>
        </w:tc>
        <w:tc>
          <w:tcPr>
            <w:tcW w:w="1908" w:type="dxa"/>
          </w:tcPr>
          <w:p w:rsidR="009B786F" w:rsidRPr="00FE02FE" w:rsidRDefault="009B786F" w:rsidP="00FE02FE">
            <w:pPr>
              <w:jc w:val="center"/>
              <w:rPr>
                <w:b/>
              </w:rPr>
            </w:pPr>
            <w:r w:rsidRPr="00FE02FE">
              <w:rPr>
                <w:b/>
              </w:rPr>
              <w:t>Completed (attached)</w:t>
            </w:r>
          </w:p>
        </w:tc>
      </w:tr>
      <w:tr w:rsidR="009B786F" w:rsidTr="009210A4">
        <w:tc>
          <w:tcPr>
            <w:tcW w:w="738" w:type="dxa"/>
          </w:tcPr>
          <w:p w:rsidR="009B786F" w:rsidRDefault="008B585A">
            <w:r>
              <w:t>1</w:t>
            </w:r>
          </w:p>
        </w:tc>
        <w:tc>
          <w:tcPr>
            <w:tcW w:w="6930" w:type="dxa"/>
          </w:tcPr>
          <w:p w:rsidR="009B786F" w:rsidRDefault="00682C0D" w:rsidP="008B585A">
            <w:r>
              <w:t>E</w:t>
            </w:r>
            <w:r w:rsidR="00464918" w:rsidRPr="00663B43">
              <w:t>ngineering calculations</w:t>
            </w:r>
          </w:p>
        </w:tc>
        <w:tc>
          <w:tcPr>
            <w:tcW w:w="1908" w:type="dxa"/>
          </w:tcPr>
          <w:p w:rsidR="009B786F" w:rsidRDefault="009B786F"/>
        </w:tc>
      </w:tr>
      <w:tr w:rsidR="009B786F" w:rsidTr="009210A4">
        <w:tc>
          <w:tcPr>
            <w:tcW w:w="738" w:type="dxa"/>
          </w:tcPr>
          <w:p w:rsidR="009B786F" w:rsidRDefault="00663B43" w:rsidP="008B585A">
            <w:r>
              <w:t>2</w:t>
            </w:r>
          </w:p>
        </w:tc>
        <w:tc>
          <w:tcPr>
            <w:tcW w:w="6930" w:type="dxa"/>
          </w:tcPr>
          <w:p w:rsidR="009B786F" w:rsidRDefault="00682C0D" w:rsidP="008B585A">
            <w:r>
              <w:t>E</w:t>
            </w:r>
            <w:r w:rsidR="00663B43" w:rsidRPr="00663B43">
              <w:t>xperimental stress analysis such as described in Part 5 in Section VIII, Division 2 of the ASME BPV Code</w:t>
            </w:r>
          </w:p>
        </w:tc>
        <w:tc>
          <w:tcPr>
            <w:tcW w:w="1908" w:type="dxa"/>
          </w:tcPr>
          <w:p w:rsidR="009B786F" w:rsidRDefault="009B786F"/>
        </w:tc>
      </w:tr>
      <w:tr w:rsidR="009B786F" w:rsidTr="009210A4">
        <w:tc>
          <w:tcPr>
            <w:tcW w:w="738" w:type="dxa"/>
          </w:tcPr>
          <w:p w:rsidR="009B786F" w:rsidRDefault="00663B43">
            <w:r>
              <w:t>3</w:t>
            </w:r>
          </w:p>
        </w:tc>
        <w:tc>
          <w:tcPr>
            <w:tcW w:w="6930" w:type="dxa"/>
          </w:tcPr>
          <w:p w:rsidR="009B786F" w:rsidRDefault="00682C0D" w:rsidP="007762EC">
            <w:r>
              <w:t>P</w:t>
            </w:r>
            <w:r w:rsidR="00663B43">
              <w:t>roof test in accordance with UG-101 in</w:t>
            </w:r>
            <w:r w:rsidR="007762EC">
              <w:t xml:space="preserve"> </w:t>
            </w:r>
            <w:r w:rsidR="00663B43">
              <w:t>Section VIII, Division 1 of the ASME BPV Code</w:t>
            </w:r>
          </w:p>
        </w:tc>
        <w:tc>
          <w:tcPr>
            <w:tcW w:w="1908" w:type="dxa"/>
          </w:tcPr>
          <w:p w:rsidR="009B786F" w:rsidRDefault="009B786F"/>
        </w:tc>
      </w:tr>
    </w:tbl>
    <w:p w:rsidR="004C6E72" w:rsidRDefault="004C6E72" w:rsidP="00663B43">
      <w:pPr>
        <w:spacing w:after="0" w:line="240" w:lineRule="auto"/>
      </w:pPr>
    </w:p>
    <w:p w:rsidR="00663B43" w:rsidRDefault="00663B43" w:rsidP="00663B43">
      <w:pPr>
        <w:spacing w:after="0" w:line="240" w:lineRule="auto"/>
      </w:pPr>
      <w:r>
        <w:t xml:space="preserve">If differences in size and proportion are small, components may be designed by interpolation between </w:t>
      </w:r>
      <w:r w:rsidR="004C6E72">
        <w:t>similar configurations</w:t>
      </w:r>
      <w:r>
        <w:t xml:space="preserve"> that have been proven by one of the procedures described above, or that conform to a listed standard.</w:t>
      </w:r>
    </w:p>
    <w:p w:rsidR="00663B43" w:rsidRDefault="00663B43" w:rsidP="00663B43">
      <w:pPr>
        <w:spacing w:after="0" w:line="240" w:lineRule="auto"/>
      </w:pPr>
    </w:p>
    <w:p w:rsidR="00663B43" w:rsidRDefault="00663B43" w:rsidP="00663B43">
      <w:pPr>
        <w:spacing w:after="0" w:line="240" w:lineRule="auto"/>
      </w:pPr>
    </w:p>
    <w:p w:rsidR="00663B43" w:rsidRDefault="00663B43" w:rsidP="00663B43">
      <w:pPr>
        <w:spacing w:after="0" w:line="240" w:lineRule="auto"/>
      </w:pPr>
    </w:p>
    <w:p w:rsidR="00663B43" w:rsidRDefault="00663B43" w:rsidP="00663B43">
      <w:pPr>
        <w:spacing w:after="0" w:line="240" w:lineRule="auto"/>
      </w:pPr>
    </w:p>
    <w:p w:rsidR="00663B43" w:rsidRDefault="00663B43" w:rsidP="00663B43">
      <w:pPr>
        <w:spacing w:after="0" w:line="240" w:lineRule="auto"/>
      </w:pPr>
    </w:p>
    <w:p w:rsidR="00663B43" w:rsidRDefault="00663B43" w:rsidP="00663B43">
      <w:pPr>
        <w:spacing w:after="0" w:line="240" w:lineRule="auto"/>
      </w:pPr>
    </w:p>
    <w:p w:rsidR="00663B43" w:rsidRDefault="00663B43" w:rsidP="00663B43">
      <w:pPr>
        <w:spacing w:after="0" w:line="240" w:lineRule="auto"/>
      </w:pPr>
    </w:p>
    <w:p w:rsidR="00663B43" w:rsidRDefault="00663B43" w:rsidP="00663B43">
      <w:pPr>
        <w:spacing w:after="0" w:line="240" w:lineRule="auto"/>
      </w:pPr>
    </w:p>
    <w:p w:rsidR="00663B43" w:rsidRDefault="00663B43" w:rsidP="00663B43">
      <w:pPr>
        <w:spacing w:after="0" w:line="240" w:lineRule="auto"/>
      </w:pPr>
    </w:p>
    <w:p w:rsidR="00663B43" w:rsidRDefault="004D0AAD" w:rsidP="004D0AAD">
      <w:pPr>
        <w:spacing w:after="0" w:line="240" w:lineRule="auto"/>
        <w:ind w:left="180" w:hanging="180"/>
      </w:pPr>
      <w:r>
        <w:t xml:space="preserve">* Note: Code references herein are based on the 2014 edition.  Modify as necessary to align with </w:t>
      </w:r>
      <w:r w:rsidR="00F374C8">
        <w:t>newer</w:t>
      </w:r>
      <w:r>
        <w:t xml:space="preserve"> editions.</w:t>
      </w:r>
    </w:p>
    <w:p w:rsidR="00663B43" w:rsidRDefault="00663B43" w:rsidP="00663B43">
      <w:pPr>
        <w:spacing w:after="0" w:line="240" w:lineRule="auto"/>
      </w:pPr>
    </w:p>
    <w:p w:rsidR="00663B43" w:rsidRDefault="00663B43" w:rsidP="00663B43">
      <w:pPr>
        <w:spacing w:after="0" w:line="240" w:lineRule="auto"/>
      </w:pPr>
    </w:p>
    <w:p w:rsidR="00663B43" w:rsidRDefault="00663B43" w:rsidP="00663B43">
      <w:pPr>
        <w:spacing w:after="0" w:line="240" w:lineRule="auto"/>
      </w:pPr>
    </w:p>
    <w:p w:rsidR="00663B43" w:rsidRDefault="00663B43" w:rsidP="00663B43">
      <w:pPr>
        <w:spacing w:after="0" w:line="240" w:lineRule="auto"/>
      </w:pPr>
    </w:p>
    <w:p w:rsidR="00663B43" w:rsidRDefault="00663B43" w:rsidP="00663B43">
      <w:pPr>
        <w:spacing w:after="0" w:line="240" w:lineRule="auto"/>
      </w:pPr>
    </w:p>
    <w:p w:rsidR="00663B43" w:rsidRDefault="00663B43" w:rsidP="00663B43">
      <w:pPr>
        <w:spacing w:after="0" w:line="240" w:lineRule="auto"/>
      </w:pPr>
    </w:p>
    <w:p w:rsidR="00663B43" w:rsidRDefault="00663B43" w:rsidP="00663B43">
      <w:pPr>
        <w:spacing w:after="0"/>
      </w:pPr>
      <w:r>
        <w:t>Evaluated By:</w:t>
      </w:r>
      <w:r>
        <w:tab/>
      </w:r>
      <w:r>
        <w:tab/>
        <w:t>______________________________________</w:t>
      </w:r>
      <w:r>
        <w:tab/>
        <w:t>Date:</w:t>
      </w:r>
      <w:r>
        <w:tab/>
        <w:t>_________</w:t>
      </w:r>
    </w:p>
    <w:p w:rsidR="00663B43" w:rsidRDefault="00663B43" w:rsidP="00663B43">
      <w:pPr>
        <w:spacing w:after="0"/>
      </w:pPr>
    </w:p>
    <w:p w:rsidR="00663B43" w:rsidRDefault="00DF34BE" w:rsidP="00663B43">
      <w:pPr>
        <w:spacing w:after="0"/>
      </w:pPr>
      <w:r>
        <w:t>CP</w:t>
      </w:r>
      <w:r w:rsidR="00663B43">
        <w:t>SO/SMPO Designee:</w:t>
      </w:r>
      <w:r w:rsidR="00663B43">
        <w:tab/>
        <w:t>______________________________________</w:t>
      </w:r>
      <w:r w:rsidR="00663B43">
        <w:tab/>
        <w:t>Date:</w:t>
      </w:r>
      <w:r w:rsidR="00663B43">
        <w:tab/>
        <w:t>_________</w:t>
      </w:r>
    </w:p>
    <w:p w:rsidR="00663B43" w:rsidRDefault="00663B43">
      <w:bookmarkStart w:id="0" w:name="_GoBack"/>
      <w:bookmarkEnd w:id="0"/>
      <w:r>
        <w:br w:type="page"/>
      </w:r>
    </w:p>
    <w:p w:rsidR="003C47DF" w:rsidRDefault="00DF34BE" w:rsidP="003C4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From </w:t>
      </w:r>
      <w:r w:rsidR="007762EC">
        <w:rPr>
          <w:rFonts w:ascii="Arial" w:hAnsi="Arial" w:cs="Arial"/>
          <w:color w:val="000000"/>
          <w:sz w:val="20"/>
          <w:szCs w:val="20"/>
        </w:rPr>
        <w:t>NASME-</w:t>
      </w:r>
      <w:r w:rsidR="003C47DF">
        <w:rPr>
          <w:rFonts w:ascii="Arial" w:hAnsi="Arial" w:cs="Arial"/>
          <w:color w:val="000000"/>
          <w:sz w:val="20"/>
          <w:szCs w:val="20"/>
        </w:rPr>
        <w:t>2, 902.2.1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3C47DF" w:rsidRDefault="003C47DF" w:rsidP="003C4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C47DF" w:rsidRPr="003C47DF" w:rsidRDefault="003C47DF" w:rsidP="007762EC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3C47DF">
        <w:rPr>
          <w:rFonts w:ascii="Arial" w:hAnsi="Arial" w:cs="Arial"/>
          <w:color w:val="000000"/>
          <w:sz w:val="20"/>
          <w:szCs w:val="20"/>
        </w:rPr>
        <w:t xml:space="preserve">Listed components shall be the first component selected for the application. </w:t>
      </w:r>
    </w:p>
    <w:p w:rsidR="003C47DF" w:rsidRPr="003C47DF" w:rsidRDefault="003C47DF" w:rsidP="007762EC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3C47DF">
        <w:rPr>
          <w:rFonts w:ascii="Arial" w:hAnsi="Arial" w:cs="Arial"/>
          <w:color w:val="000000"/>
          <w:sz w:val="20"/>
          <w:szCs w:val="20"/>
        </w:rPr>
        <w:t xml:space="preserve">Listed: for the purposes of this equivalency, describes a material or component that conforms to a specification in at least one of the following: Table 926.1, Table I-1, Table I-2, Table I-3, Table I-4, or Table II-1. </w:t>
      </w:r>
    </w:p>
    <w:p w:rsidR="003C47DF" w:rsidRPr="003C47DF" w:rsidRDefault="003C47DF" w:rsidP="007762EC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3C47DF">
        <w:rPr>
          <w:rFonts w:ascii="Arial" w:hAnsi="Arial" w:cs="Arial"/>
          <w:color w:val="000000"/>
          <w:sz w:val="20"/>
          <w:szCs w:val="20"/>
        </w:rPr>
        <w:t xml:space="preserve">Items listed in ASME B31.1 may also be used. </w:t>
      </w:r>
    </w:p>
    <w:p w:rsidR="003C47DF" w:rsidRPr="003C47DF" w:rsidRDefault="003C47DF" w:rsidP="007762EC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color w:val="0000FF"/>
          <w:sz w:val="20"/>
          <w:szCs w:val="20"/>
        </w:rPr>
      </w:pPr>
      <w:r w:rsidRPr="003C47DF">
        <w:rPr>
          <w:rFonts w:ascii="Arial" w:hAnsi="Arial" w:cs="Arial"/>
          <w:color w:val="000000"/>
          <w:sz w:val="20"/>
          <w:szCs w:val="20"/>
        </w:rPr>
        <w:t xml:space="preserve">Additional approved components are located in the file “Allowed Unlisted Components Listing per ADMIN-2, Article Z -- Unlisted, Specialty, or Unique Components, para 2 (xls)” on </w:t>
      </w:r>
      <w:hyperlink r:id="rId7" w:history="1">
        <w:r w:rsidR="00101B55" w:rsidRPr="004E79AE">
          <w:rPr>
            <w:rStyle w:val="Hyperlink"/>
            <w:rFonts w:ascii="Arial" w:hAnsi="Arial" w:cs="Arial"/>
            <w:sz w:val="20"/>
            <w:szCs w:val="20"/>
          </w:rPr>
          <w:t>http://engstandards.lanl.gov/unlisted_components.shtml</w:t>
        </w:r>
      </w:hyperlink>
      <w:r w:rsidR="00101B55">
        <w:rPr>
          <w:rFonts w:ascii="Arial" w:hAnsi="Arial" w:cs="Arial"/>
          <w:color w:val="0000FF"/>
          <w:sz w:val="20"/>
          <w:szCs w:val="20"/>
        </w:rPr>
        <w:t xml:space="preserve"> </w:t>
      </w:r>
      <w:r w:rsidRPr="003C47DF">
        <w:rPr>
          <w:rFonts w:ascii="Arial" w:hAnsi="Arial" w:cs="Arial"/>
          <w:color w:val="0000FF"/>
          <w:sz w:val="20"/>
          <w:szCs w:val="20"/>
        </w:rPr>
        <w:t xml:space="preserve"> </w:t>
      </w:r>
      <w:r w:rsidR="00101B55"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3C47DF" w:rsidRPr="003C47DF" w:rsidRDefault="003C47DF" w:rsidP="007762EC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3C47DF">
        <w:rPr>
          <w:rFonts w:ascii="Arial" w:hAnsi="Arial" w:cs="Arial"/>
          <w:color w:val="000000"/>
          <w:sz w:val="20"/>
          <w:szCs w:val="20"/>
        </w:rPr>
        <w:t xml:space="preserve">Unlisted components may be used as long as they are listed on the reputable manufacturer’s list. </w:t>
      </w:r>
    </w:p>
    <w:p w:rsidR="003C47DF" w:rsidRPr="003C47DF" w:rsidRDefault="003C47DF" w:rsidP="007762EC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3C47DF">
        <w:rPr>
          <w:rFonts w:ascii="Arial" w:hAnsi="Arial" w:cs="Arial"/>
          <w:color w:val="000000"/>
          <w:sz w:val="20"/>
          <w:szCs w:val="20"/>
        </w:rPr>
        <w:t>A reputable manuf</w:t>
      </w:r>
      <w:r w:rsidR="007762EC">
        <w:rPr>
          <w:rFonts w:ascii="Arial" w:hAnsi="Arial" w:cs="Arial"/>
          <w:color w:val="000000"/>
          <w:sz w:val="20"/>
          <w:szCs w:val="20"/>
        </w:rPr>
        <w:t>acturers</w:t>
      </w:r>
      <w:r w:rsidRPr="003C47DF">
        <w:rPr>
          <w:rFonts w:ascii="Arial" w:hAnsi="Arial" w:cs="Arial"/>
          <w:color w:val="000000"/>
          <w:sz w:val="20"/>
          <w:szCs w:val="20"/>
        </w:rPr>
        <w:t xml:space="preserve"> listing will be maintained on the Engineering Services website. </w:t>
      </w:r>
    </w:p>
    <w:p w:rsidR="003C47DF" w:rsidRPr="003C47DF" w:rsidRDefault="003C47DF" w:rsidP="007762EC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3C47DF">
        <w:rPr>
          <w:rFonts w:ascii="Arial" w:hAnsi="Arial" w:cs="Arial"/>
          <w:color w:val="000000"/>
          <w:sz w:val="20"/>
          <w:szCs w:val="20"/>
        </w:rPr>
        <w:t xml:space="preserve">NOTE: Institutional Evaluation Suppliers List (IESL) is not necessarily a listing of reputable manufacturers. </w:t>
      </w:r>
    </w:p>
    <w:p w:rsidR="003C47DF" w:rsidRPr="003C47DF" w:rsidRDefault="003C47DF" w:rsidP="007762EC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3C47DF">
        <w:rPr>
          <w:rFonts w:ascii="Arial" w:hAnsi="Arial" w:cs="Arial"/>
          <w:color w:val="000000"/>
          <w:sz w:val="20"/>
          <w:szCs w:val="20"/>
        </w:rPr>
        <w:t xml:space="preserve">The Commercial Grade Designation (CGD) qualifies ML-3 &amp; 4 equipment from non-IESL suppliers for use in ML-1 &amp; 2 service, but does not qualify equipment for ASME B31.9 code equivalency to code concerns. </w:t>
      </w:r>
    </w:p>
    <w:p w:rsidR="003C47DF" w:rsidRPr="003C47DF" w:rsidRDefault="003C47DF" w:rsidP="007762EC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3C47DF">
        <w:rPr>
          <w:rFonts w:ascii="Arial" w:hAnsi="Arial" w:cs="Arial"/>
          <w:color w:val="000000"/>
          <w:sz w:val="20"/>
          <w:szCs w:val="20"/>
        </w:rPr>
        <w:t xml:space="preserve">Listing on a reputable manufacturer’s list requires ratings that are acceptable for the service conditions of temperature, pressure, compatibility, for service and ratings. </w:t>
      </w:r>
    </w:p>
    <w:p w:rsidR="003C47DF" w:rsidRPr="003C47DF" w:rsidRDefault="003C47DF" w:rsidP="007762EC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3C47DF">
        <w:rPr>
          <w:rFonts w:ascii="Arial" w:hAnsi="Arial" w:cs="Arial"/>
          <w:color w:val="000000"/>
          <w:sz w:val="20"/>
          <w:szCs w:val="20"/>
        </w:rPr>
        <w:t xml:space="preserve">or </w:t>
      </w:r>
    </w:p>
    <w:p w:rsidR="003C47DF" w:rsidRDefault="003C47DF" w:rsidP="007762EC">
      <w:pPr>
        <w:spacing w:before="20" w:after="20"/>
        <w:ind w:left="720"/>
        <w:rPr>
          <w:rFonts w:ascii="Arial" w:hAnsi="Arial" w:cs="Arial"/>
          <w:color w:val="000000"/>
          <w:sz w:val="20"/>
          <w:szCs w:val="20"/>
        </w:rPr>
      </w:pPr>
      <w:r w:rsidRPr="003C47DF">
        <w:rPr>
          <w:rFonts w:ascii="Arial" w:hAnsi="Arial" w:cs="Arial"/>
          <w:color w:val="000000"/>
          <w:sz w:val="20"/>
          <w:szCs w:val="20"/>
        </w:rPr>
        <w:t xml:space="preserve">Engineering calculations showing a factor of safety of 4:1 (this item would then be entered onto the </w:t>
      </w:r>
      <w:r w:rsidRPr="005349D4">
        <w:rPr>
          <w:rFonts w:ascii="Arial" w:hAnsi="Arial" w:cs="Arial"/>
          <w:color w:val="000000"/>
          <w:sz w:val="20"/>
          <w:szCs w:val="20"/>
        </w:rPr>
        <w:t>reputable manufacturer’s list as w</w:t>
      </w:r>
      <w:r w:rsidRPr="003C47DF">
        <w:rPr>
          <w:rFonts w:ascii="Arial" w:hAnsi="Arial" w:cs="Arial"/>
          <w:color w:val="000000"/>
          <w:sz w:val="20"/>
          <w:szCs w:val="20"/>
        </w:rPr>
        <w:t>ell).</w:t>
      </w:r>
    </w:p>
    <w:p w:rsidR="003C47DF" w:rsidRPr="003C47DF" w:rsidRDefault="003C47DF" w:rsidP="007762EC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3C47DF">
        <w:rPr>
          <w:rFonts w:ascii="Arial" w:hAnsi="Arial" w:cs="Arial"/>
          <w:color w:val="000000"/>
          <w:sz w:val="20"/>
          <w:szCs w:val="20"/>
        </w:rPr>
        <w:t xml:space="preserve">Items being placed on this list need final approval by the CPSO or Designee. </w:t>
      </w:r>
    </w:p>
    <w:p w:rsidR="007762EC" w:rsidRDefault="007762EC" w:rsidP="003C47DF">
      <w:pPr>
        <w:rPr>
          <w:rFonts w:ascii="Arial" w:hAnsi="Arial" w:cs="Arial"/>
          <w:sz w:val="20"/>
        </w:rPr>
      </w:pPr>
    </w:p>
    <w:p w:rsidR="003C47DF" w:rsidRPr="00101B55" w:rsidRDefault="003C47DF" w:rsidP="003C47DF">
      <w:pPr>
        <w:rPr>
          <w:rFonts w:ascii="Arial" w:hAnsi="Arial" w:cs="Arial"/>
          <w:sz w:val="20"/>
        </w:rPr>
      </w:pPr>
      <w:r w:rsidRPr="00101B55">
        <w:rPr>
          <w:rFonts w:ascii="Arial" w:hAnsi="Arial" w:cs="Arial"/>
          <w:sz w:val="20"/>
        </w:rPr>
        <w:t>The “</w:t>
      </w:r>
      <w:r w:rsidR="006973F4" w:rsidRPr="00101B55">
        <w:rPr>
          <w:rFonts w:ascii="Arial" w:hAnsi="Arial" w:cs="Arial"/>
          <w:sz w:val="20"/>
        </w:rPr>
        <w:t xml:space="preserve">Reputable </w:t>
      </w:r>
      <w:r w:rsidRPr="00101B55">
        <w:rPr>
          <w:rFonts w:ascii="Arial" w:hAnsi="Arial" w:cs="Arial"/>
          <w:sz w:val="20"/>
        </w:rPr>
        <w:t>Manufacturer’s List” is available at the following address:</w:t>
      </w:r>
    </w:p>
    <w:p w:rsidR="003C47DF" w:rsidRPr="00101B55" w:rsidRDefault="009210A4" w:rsidP="003C47DF">
      <w:pPr>
        <w:ind w:left="720"/>
        <w:rPr>
          <w:rFonts w:ascii="Arial" w:hAnsi="Arial" w:cs="Arial"/>
          <w:sz w:val="20"/>
        </w:rPr>
      </w:pPr>
      <w:hyperlink r:id="rId8" w:history="1">
        <w:r w:rsidR="003C47DF" w:rsidRPr="00101B55">
          <w:rPr>
            <w:rStyle w:val="Hyperlink"/>
            <w:rFonts w:ascii="Arial" w:hAnsi="Arial" w:cs="Arial"/>
            <w:sz w:val="20"/>
          </w:rPr>
          <w:t>http://int.lanl.gov/org/padops/adnhho/engineering-services/pressure-protection-program/_assets/docs/reputable-manufacturers.xlsx</w:t>
        </w:r>
      </w:hyperlink>
    </w:p>
    <w:p w:rsidR="003C47DF" w:rsidRPr="00101B55" w:rsidRDefault="003C47DF" w:rsidP="003C47DF">
      <w:pPr>
        <w:rPr>
          <w:rFonts w:ascii="Arial" w:hAnsi="Arial" w:cs="Arial"/>
          <w:sz w:val="20"/>
        </w:rPr>
      </w:pPr>
      <w:r w:rsidRPr="00101B55">
        <w:rPr>
          <w:rFonts w:ascii="Arial" w:hAnsi="Arial" w:cs="Arial"/>
          <w:sz w:val="20"/>
        </w:rPr>
        <w:t>The following information is required for entry in the “</w:t>
      </w:r>
      <w:r w:rsidR="006973F4" w:rsidRPr="00101B55">
        <w:rPr>
          <w:rFonts w:ascii="Arial" w:hAnsi="Arial" w:cs="Arial"/>
          <w:sz w:val="20"/>
        </w:rPr>
        <w:t xml:space="preserve">Reputable </w:t>
      </w:r>
      <w:r w:rsidRPr="00101B55">
        <w:rPr>
          <w:rFonts w:ascii="Arial" w:hAnsi="Arial" w:cs="Arial"/>
          <w:sz w:val="20"/>
        </w:rPr>
        <w:t>Manufacturer’s List” and an electronic Excel format is preferred for quick entry.</w:t>
      </w:r>
    </w:p>
    <w:p w:rsidR="003C47DF" w:rsidRPr="00101B55" w:rsidRDefault="003C47DF" w:rsidP="00811CE3">
      <w:pPr>
        <w:spacing w:after="0"/>
        <w:rPr>
          <w:rFonts w:ascii="Arial" w:hAnsi="Arial" w:cs="Arial"/>
          <w:sz w:val="20"/>
        </w:rPr>
      </w:pPr>
      <w:r w:rsidRPr="00101B55">
        <w:rPr>
          <w:rFonts w:ascii="Arial" w:hAnsi="Arial" w:cs="Arial"/>
          <w:sz w:val="20"/>
        </w:rPr>
        <w:t>Component Type</w:t>
      </w:r>
    </w:p>
    <w:p w:rsidR="00811CE3" w:rsidRPr="00101B55" w:rsidRDefault="003C47DF" w:rsidP="00811CE3">
      <w:pPr>
        <w:spacing w:after="0"/>
        <w:rPr>
          <w:rFonts w:ascii="Arial" w:hAnsi="Arial" w:cs="Arial"/>
          <w:sz w:val="20"/>
        </w:rPr>
      </w:pPr>
      <w:r w:rsidRPr="00101B55">
        <w:rPr>
          <w:rFonts w:ascii="Arial" w:hAnsi="Arial" w:cs="Arial"/>
          <w:sz w:val="20"/>
        </w:rPr>
        <w:t>Manufacturer</w:t>
      </w:r>
    </w:p>
    <w:p w:rsidR="00811CE3" w:rsidRPr="00101B55" w:rsidRDefault="003C47DF" w:rsidP="00811CE3">
      <w:pPr>
        <w:spacing w:after="0"/>
        <w:rPr>
          <w:rFonts w:ascii="Arial" w:hAnsi="Arial" w:cs="Arial"/>
          <w:sz w:val="20"/>
        </w:rPr>
      </w:pPr>
      <w:r w:rsidRPr="00101B55">
        <w:rPr>
          <w:rFonts w:ascii="Arial" w:hAnsi="Arial" w:cs="Arial"/>
          <w:sz w:val="20"/>
        </w:rPr>
        <w:t>Specification</w:t>
      </w:r>
    </w:p>
    <w:p w:rsidR="00811CE3" w:rsidRPr="00101B55" w:rsidRDefault="003C47DF" w:rsidP="00811CE3">
      <w:pPr>
        <w:spacing w:after="0"/>
        <w:rPr>
          <w:rFonts w:ascii="Arial" w:hAnsi="Arial" w:cs="Arial"/>
          <w:sz w:val="20"/>
        </w:rPr>
      </w:pPr>
      <w:r w:rsidRPr="00101B55">
        <w:rPr>
          <w:rFonts w:ascii="Arial" w:hAnsi="Arial" w:cs="Arial"/>
          <w:sz w:val="20"/>
        </w:rPr>
        <w:t>Model Number</w:t>
      </w:r>
    </w:p>
    <w:p w:rsidR="00811CE3" w:rsidRPr="00101B55" w:rsidRDefault="003C47DF" w:rsidP="00811CE3">
      <w:pPr>
        <w:spacing w:after="0"/>
        <w:rPr>
          <w:rFonts w:ascii="Arial" w:hAnsi="Arial" w:cs="Arial"/>
          <w:sz w:val="20"/>
        </w:rPr>
      </w:pPr>
      <w:r w:rsidRPr="00101B55">
        <w:rPr>
          <w:rFonts w:ascii="Arial" w:hAnsi="Arial" w:cs="Arial"/>
          <w:sz w:val="20"/>
        </w:rPr>
        <w:t>MAWP</w:t>
      </w:r>
    </w:p>
    <w:p w:rsidR="00811CE3" w:rsidRPr="00101B55" w:rsidRDefault="003C47DF" w:rsidP="00811CE3">
      <w:pPr>
        <w:spacing w:after="0"/>
        <w:rPr>
          <w:rFonts w:ascii="Arial" w:hAnsi="Arial" w:cs="Arial"/>
          <w:sz w:val="20"/>
        </w:rPr>
      </w:pPr>
      <w:r w:rsidRPr="00101B55">
        <w:rPr>
          <w:rFonts w:ascii="Arial" w:hAnsi="Arial" w:cs="Arial"/>
          <w:sz w:val="20"/>
        </w:rPr>
        <w:t>Recommending User</w:t>
      </w:r>
    </w:p>
    <w:p w:rsidR="00811CE3" w:rsidRPr="00101B55" w:rsidRDefault="003C47DF" w:rsidP="00811CE3">
      <w:pPr>
        <w:spacing w:after="0"/>
        <w:rPr>
          <w:rFonts w:ascii="Arial" w:hAnsi="Arial" w:cs="Arial"/>
          <w:sz w:val="20"/>
        </w:rPr>
      </w:pPr>
      <w:r w:rsidRPr="00101B55">
        <w:rPr>
          <w:rFonts w:ascii="Arial" w:hAnsi="Arial" w:cs="Arial"/>
          <w:sz w:val="20"/>
        </w:rPr>
        <w:t>Pressure System ID</w:t>
      </w:r>
    </w:p>
    <w:p w:rsidR="00811CE3" w:rsidRPr="00101B55" w:rsidRDefault="003C47DF" w:rsidP="00811CE3">
      <w:pPr>
        <w:spacing w:after="0"/>
        <w:rPr>
          <w:rFonts w:ascii="Arial" w:hAnsi="Arial" w:cs="Arial"/>
          <w:sz w:val="20"/>
        </w:rPr>
      </w:pPr>
      <w:r w:rsidRPr="00101B55">
        <w:rPr>
          <w:rFonts w:ascii="Arial" w:hAnsi="Arial" w:cs="Arial"/>
          <w:sz w:val="20"/>
        </w:rPr>
        <w:t>Pressure System Fluid as Used</w:t>
      </w:r>
    </w:p>
    <w:p w:rsidR="00811CE3" w:rsidRPr="00101B55" w:rsidRDefault="003C47DF" w:rsidP="00811CE3">
      <w:pPr>
        <w:spacing w:after="0"/>
        <w:rPr>
          <w:rFonts w:ascii="Arial" w:hAnsi="Arial" w:cs="Arial"/>
          <w:sz w:val="20"/>
        </w:rPr>
      </w:pPr>
      <w:r w:rsidRPr="00101B55">
        <w:rPr>
          <w:rFonts w:ascii="Arial" w:hAnsi="Arial" w:cs="Arial"/>
          <w:sz w:val="20"/>
        </w:rPr>
        <w:t>Size or Range</w:t>
      </w:r>
    </w:p>
    <w:p w:rsidR="00811CE3" w:rsidRPr="00101B55" w:rsidRDefault="003C47DF" w:rsidP="00811CE3">
      <w:pPr>
        <w:spacing w:after="0"/>
        <w:rPr>
          <w:rFonts w:ascii="Arial" w:hAnsi="Arial" w:cs="Arial"/>
          <w:sz w:val="20"/>
        </w:rPr>
      </w:pPr>
      <w:r w:rsidRPr="00101B55">
        <w:rPr>
          <w:rFonts w:ascii="Arial" w:hAnsi="Arial" w:cs="Arial"/>
          <w:sz w:val="20"/>
        </w:rPr>
        <w:t>Comments</w:t>
      </w:r>
    </w:p>
    <w:p w:rsidR="006973F4" w:rsidRPr="00101B55" w:rsidRDefault="006973F4" w:rsidP="00811CE3">
      <w:pPr>
        <w:spacing w:after="0"/>
        <w:rPr>
          <w:rFonts w:ascii="Arial" w:hAnsi="Arial" w:cs="Arial"/>
          <w:sz w:val="20"/>
        </w:rPr>
      </w:pPr>
      <w:r w:rsidRPr="00101B55">
        <w:rPr>
          <w:rFonts w:ascii="Arial" w:hAnsi="Arial" w:cs="Arial"/>
          <w:sz w:val="20"/>
        </w:rPr>
        <w:t>Date</w:t>
      </w:r>
    </w:p>
    <w:p w:rsidR="006973F4" w:rsidRPr="00101B55" w:rsidRDefault="006973F4" w:rsidP="00811CE3">
      <w:pPr>
        <w:spacing w:after="0"/>
        <w:rPr>
          <w:rFonts w:ascii="Arial" w:hAnsi="Arial" w:cs="Arial"/>
          <w:sz w:val="20"/>
        </w:rPr>
      </w:pPr>
      <w:r w:rsidRPr="00101B55">
        <w:rPr>
          <w:rFonts w:ascii="Arial" w:hAnsi="Arial" w:cs="Arial"/>
          <w:sz w:val="20"/>
        </w:rPr>
        <w:t>Code Stamp</w:t>
      </w:r>
    </w:p>
    <w:sectPr w:rsidR="006973F4" w:rsidRPr="00101B55" w:rsidSect="004C6E7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682" w:rsidRDefault="00DB6682" w:rsidP="0022765E">
      <w:pPr>
        <w:spacing w:after="0" w:line="240" w:lineRule="auto"/>
      </w:pPr>
      <w:r>
        <w:separator/>
      </w:r>
    </w:p>
  </w:endnote>
  <w:endnote w:type="continuationSeparator" w:id="0">
    <w:p w:rsidR="00DB6682" w:rsidRDefault="00DB6682" w:rsidP="0022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96985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465E4" w:rsidRPr="00EC5DD6" w:rsidRDefault="00682C0D">
            <w:pPr>
              <w:pStyle w:val="Footer"/>
              <w:jc w:val="center"/>
            </w:pPr>
            <w:r>
              <w:rPr>
                <w:rFonts w:ascii="Arial" w:hAnsi="Arial" w:cs="Arial"/>
                <w:sz w:val="20"/>
              </w:rPr>
              <w:t>ESM Ch. 17 Sect. ADMIN-2-Form 9C</w:t>
            </w:r>
            <w:r w:rsidR="00B465E4">
              <w:rPr>
                <w:rFonts w:ascii="Arial" w:hAnsi="Arial" w:cs="Arial"/>
                <w:sz w:val="20"/>
              </w:rPr>
              <w:t>, Rev. 0 (</w:t>
            </w:r>
            <w:r>
              <w:rPr>
                <w:rFonts w:ascii="Arial" w:hAnsi="Arial" w:cs="Arial"/>
                <w:sz w:val="20"/>
              </w:rPr>
              <w:t>4</w:t>
            </w:r>
            <w:r w:rsidR="00B465E4">
              <w:rPr>
                <w:rFonts w:ascii="Arial" w:hAnsi="Arial" w:cs="Arial"/>
                <w:sz w:val="20"/>
              </w:rPr>
              <w:t>/</w:t>
            </w:r>
            <w:r w:rsidR="005349D4">
              <w:rPr>
                <w:rFonts w:ascii="Arial" w:hAnsi="Arial" w:cs="Arial"/>
                <w:sz w:val="20"/>
              </w:rPr>
              <w:t>05</w:t>
            </w:r>
            <w:r w:rsidR="00B465E4">
              <w:rPr>
                <w:rFonts w:ascii="Arial" w:hAnsi="Arial" w:cs="Arial"/>
                <w:sz w:val="20"/>
              </w:rPr>
              <w:t>/16)</w:t>
            </w:r>
            <w:r w:rsidR="00B465E4">
              <w:rPr>
                <w:rFonts w:ascii="Arial" w:hAnsi="Arial" w:cs="Arial"/>
                <w:sz w:val="20"/>
              </w:rPr>
              <w:tab/>
            </w:r>
            <w:r w:rsidR="00B465E4">
              <w:rPr>
                <w:rFonts w:ascii="Arial" w:hAnsi="Arial" w:cs="Arial"/>
                <w:sz w:val="20"/>
              </w:rPr>
              <w:tab/>
            </w:r>
          </w:p>
        </w:sdtContent>
      </w:sdt>
    </w:sdtContent>
  </w:sdt>
  <w:p w:rsidR="00B465E4" w:rsidRDefault="00B46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682" w:rsidRDefault="00DB6682" w:rsidP="0022765E">
      <w:pPr>
        <w:spacing w:after="0" w:line="240" w:lineRule="auto"/>
      </w:pPr>
      <w:r>
        <w:separator/>
      </w:r>
    </w:p>
  </w:footnote>
  <w:footnote w:type="continuationSeparator" w:id="0">
    <w:p w:rsidR="00DB6682" w:rsidRDefault="00DB6682" w:rsidP="0022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2880"/>
      <w:gridCol w:w="6480"/>
    </w:tblGrid>
    <w:tr w:rsidR="00B465E4" w:rsidRPr="007418A3" w:rsidTr="00B465E4">
      <w:trPr>
        <w:trHeight w:val="1620"/>
      </w:trPr>
      <w:tc>
        <w:tcPr>
          <w:tcW w:w="2880" w:type="dxa"/>
        </w:tcPr>
        <w:p w:rsidR="00B465E4" w:rsidRPr="00BB7BD0" w:rsidRDefault="00B465E4" w:rsidP="00584C2B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17B12180" wp14:editId="015EFAA1">
                <wp:simplePos x="0" y="0"/>
                <wp:positionH relativeFrom="column">
                  <wp:posOffset>-68580</wp:posOffset>
                </wp:positionH>
                <wp:positionV relativeFrom="paragraph">
                  <wp:posOffset>-57150</wp:posOffset>
                </wp:positionV>
                <wp:extent cx="1714500" cy="889635"/>
                <wp:effectExtent l="0" t="0" r="0" b="5715"/>
                <wp:wrapNone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648" b="93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80" w:type="dxa"/>
        </w:tcPr>
        <w:p w:rsidR="00B465E4" w:rsidRPr="00D1368D" w:rsidRDefault="00B465E4" w:rsidP="00584C2B">
          <w:pPr>
            <w:pStyle w:val="Header"/>
            <w:spacing w:before="120"/>
            <w:jc w:val="right"/>
            <w:rPr>
              <w:rFonts w:ascii="Times New Roman" w:hAnsi="Times New Roman" w:cs="Times New Roman"/>
              <w:b/>
              <w:bCs/>
              <w:i/>
              <w:iCs/>
              <w:sz w:val="24"/>
            </w:rPr>
          </w:pPr>
          <w:r w:rsidRPr="00D1368D">
            <w:rPr>
              <w:rFonts w:ascii="Times New Roman" w:hAnsi="Times New Roman" w:cs="Times New Roman"/>
              <w:b/>
              <w:bCs/>
              <w:i/>
              <w:iCs/>
              <w:sz w:val="24"/>
            </w:rPr>
            <w:t>Engineering Standard Manual</w:t>
          </w:r>
        </w:p>
        <w:p w:rsidR="00B465E4" w:rsidRPr="00584C2B" w:rsidRDefault="00B465E4" w:rsidP="004D0AAD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24"/>
            </w:rPr>
          </w:pPr>
          <w:r w:rsidRPr="00584C2B">
            <w:rPr>
              <w:rFonts w:ascii="Arial" w:hAnsi="Arial" w:cs="Arial"/>
              <w:b/>
              <w:sz w:val="24"/>
            </w:rPr>
            <w:t>ASME B31.</w:t>
          </w:r>
          <w:r w:rsidR="00663B43">
            <w:rPr>
              <w:rFonts w:ascii="Arial" w:hAnsi="Arial" w:cs="Arial"/>
              <w:b/>
              <w:sz w:val="24"/>
            </w:rPr>
            <w:t>9</w:t>
          </w:r>
          <w:r w:rsidR="004D0AAD">
            <w:rPr>
              <w:rFonts w:ascii="Arial" w:hAnsi="Arial" w:cs="Arial"/>
              <w:b/>
              <w:sz w:val="24"/>
            </w:rPr>
            <w:t xml:space="preserve"> Unlisted</w:t>
          </w:r>
          <w:r w:rsidRPr="00584C2B">
            <w:rPr>
              <w:rFonts w:ascii="Arial" w:hAnsi="Arial" w:cs="Arial"/>
              <w:b/>
              <w:sz w:val="24"/>
            </w:rPr>
            <w:t xml:space="preserve"> </w:t>
          </w:r>
          <w:r w:rsidR="00663B43">
            <w:rPr>
              <w:rFonts w:ascii="Arial" w:hAnsi="Arial" w:cs="Arial"/>
              <w:b/>
              <w:sz w:val="24"/>
            </w:rPr>
            <w:t>Component</w:t>
          </w:r>
          <w:r w:rsidRPr="00584C2B">
            <w:rPr>
              <w:rFonts w:ascii="Arial" w:hAnsi="Arial" w:cs="Arial"/>
              <w:b/>
              <w:sz w:val="24"/>
            </w:rPr>
            <w:t xml:space="preserve"> Evaluation</w:t>
          </w:r>
        </w:p>
      </w:tc>
    </w:tr>
  </w:tbl>
  <w:p w:rsidR="00B465E4" w:rsidRPr="00FB14E4" w:rsidRDefault="00B465E4" w:rsidP="00584C2B">
    <w:pPr>
      <w:pStyle w:val="Header"/>
      <w:tabs>
        <w:tab w:val="left" w:pos="3084"/>
      </w:tabs>
      <w:jc w:val="right"/>
      <w:rPr>
        <w:rFonts w:ascii="Arial" w:hAnsi="Arial" w:cs="Arial"/>
        <w:sz w:val="18"/>
      </w:rPr>
    </w:pPr>
    <w:r w:rsidRPr="00FB14E4">
      <w:rPr>
        <w:rFonts w:ascii="Arial" w:hAnsi="Arial" w:cs="Arial"/>
        <w:sz w:val="18"/>
      </w:rPr>
      <w:t xml:space="preserve">Page </w:t>
    </w:r>
    <w:r w:rsidRPr="00FB14E4">
      <w:rPr>
        <w:rFonts w:ascii="Arial" w:hAnsi="Arial" w:cs="Arial"/>
        <w:sz w:val="18"/>
      </w:rPr>
      <w:fldChar w:fldCharType="begin"/>
    </w:r>
    <w:r w:rsidRPr="00FB14E4">
      <w:rPr>
        <w:rFonts w:ascii="Arial" w:hAnsi="Arial" w:cs="Arial"/>
        <w:sz w:val="18"/>
      </w:rPr>
      <w:instrText xml:space="preserve"> PAGE  \* Arabic  \* MERGEFORMAT </w:instrText>
    </w:r>
    <w:r w:rsidRPr="00FB14E4">
      <w:rPr>
        <w:rFonts w:ascii="Arial" w:hAnsi="Arial" w:cs="Arial"/>
        <w:sz w:val="18"/>
      </w:rPr>
      <w:fldChar w:fldCharType="separate"/>
    </w:r>
    <w:r w:rsidR="009210A4">
      <w:rPr>
        <w:rFonts w:ascii="Arial" w:hAnsi="Arial" w:cs="Arial"/>
        <w:noProof/>
        <w:sz w:val="18"/>
      </w:rPr>
      <w:t>2</w:t>
    </w:r>
    <w:r w:rsidRPr="00FB14E4">
      <w:rPr>
        <w:rFonts w:ascii="Arial" w:hAnsi="Arial" w:cs="Arial"/>
        <w:sz w:val="18"/>
      </w:rPr>
      <w:fldChar w:fldCharType="end"/>
    </w:r>
    <w:r w:rsidRPr="00FB14E4">
      <w:rPr>
        <w:rFonts w:ascii="Arial" w:hAnsi="Arial" w:cs="Arial"/>
        <w:sz w:val="18"/>
      </w:rPr>
      <w:t xml:space="preserve"> of 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6F"/>
    <w:rsid w:val="000E7B9F"/>
    <w:rsid w:val="00101B55"/>
    <w:rsid w:val="00200A03"/>
    <w:rsid w:val="0022765E"/>
    <w:rsid w:val="003734EE"/>
    <w:rsid w:val="003C47DF"/>
    <w:rsid w:val="004064AD"/>
    <w:rsid w:val="0041087A"/>
    <w:rsid w:val="00464918"/>
    <w:rsid w:val="00471CEF"/>
    <w:rsid w:val="004C6E72"/>
    <w:rsid w:val="004D0AAD"/>
    <w:rsid w:val="005349D4"/>
    <w:rsid w:val="0056328F"/>
    <w:rsid w:val="00584C2B"/>
    <w:rsid w:val="005B7DE7"/>
    <w:rsid w:val="006041F0"/>
    <w:rsid w:val="00626C5E"/>
    <w:rsid w:val="00654AF7"/>
    <w:rsid w:val="00663B43"/>
    <w:rsid w:val="00682C0D"/>
    <w:rsid w:val="006973F4"/>
    <w:rsid w:val="006A691B"/>
    <w:rsid w:val="006B5364"/>
    <w:rsid w:val="007762EC"/>
    <w:rsid w:val="007E317C"/>
    <w:rsid w:val="00811CE3"/>
    <w:rsid w:val="008519C8"/>
    <w:rsid w:val="00883E10"/>
    <w:rsid w:val="00894583"/>
    <w:rsid w:val="008B585A"/>
    <w:rsid w:val="009210A4"/>
    <w:rsid w:val="00971F31"/>
    <w:rsid w:val="009B786F"/>
    <w:rsid w:val="009D0DC5"/>
    <w:rsid w:val="00B465E4"/>
    <w:rsid w:val="00DB6682"/>
    <w:rsid w:val="00DD1CA0"/>
    <w:rsid w:val="00DF34BE"/>
    <w:rsid w:val="00EC5DD6"/>
    <w:rsid w:val="00EE3720"/>
    <w:rsid w:val="00F374C8"/>
    <w:rsid w:val="00FB7E3F"/>
    <w:rsid w:val="00FE02FE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39C79CF-D9A8-4687-A27C-D26B25D3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65E"/>
  </w:style>
  <w:style w:type="paragraph" w:styleId="Footer">
    <w:name w:val="footer"/>
    <w:basedOn w:val="Normal"/>
    <w:link w:val="FooterChar"/>
    <w:uiPriority w:val="99"/>
    <w:unhideWhenUsed/>
    <w:rsid w:val="00227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65E"/>
  </w:style>
  <w:style w:type="paragraph" w:customStyle="1" w:styleId="Default">
    <w:name w:val="Default"/>
    <w:rsid w:val="003C47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47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.lanl.gov/org/padops/adnhho/engineering-services/pressure-protection-program/_assets/docs/reputable-manufacturers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gstandards.lanl.gov/unlisted_components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D7B34-E8A9-4B67-A154-917A3FC8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LANL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Salazar-Barnes, Christina L</cp:lastModifiedBy>
  <cp:revision>10</cp:revision>
  <dcterms:created xsi:type="dcterms:W3CDTF">2016-03-28T15:11:00Z</dcterms:created>
  <dcterms:modified xsi:type="dcterms:W3CDTF">2016-04-07T14:00:00Z</dcterms:modified>
</cp:coreProperties>
</file>