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5B" w:rsidRDefault="005461F0" w:rsidP="005461F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224F6">
        <w:rPr>
          <w:rFonts w:ascii="Arial" w:hAnsi="Arial" w:cs="Arial"/>
          <w:b/>
          <w:sz w:val="24"/>
          <w:szCs w:val="24"/>
        </w:rPr>
        <w:t>Krautkramer</w:t>
      </w:r>
      <w:proofErr w:type="spellEnd"/>
      <w:r w:rsidRPr="00A224F6">
        <w:rPr>
          <w:rFonts w:ascii="Arial" w:hAnsi="Arial" w:cs="Arial"/>
          <w:b/>
          <w:sz w:val="24"/>
          <w:szCs w:val="24"/>
        </w:rPr>
        <w:t xml:space="preserve"> DMS 2/2E</w:t>
      </w:r>
    </w:p>
    <w:p w:rsidR="005461F0" w:rsidRDefault="005461F0" w:rsidP="005461F0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a</w:t>
      </w:r>
      <w:r w:rsidR="00261781">
        <w:rPr>
          <w:rFonts w:ascii="Arial" w:hAnsi="Arial" w:cs="Arial"/>
          <w:sz w:val="20"/>
        </w:rPr>
        <w:t>ttachment</w:t>
      </w:r>
      <w:r>
        <w:rPr>
          <w:rFonts w:ascii="Arial" w:hAnsi="Arial" w:cs="Arial"/>
          <w:sz w:val="20"/>
        </w:rPr>
        <w:t xml:space="preserve"> delineates the essential variables for </w:t>
      </w:r>
      <w:r w:rsidR="00AD2C2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hickness </w:t>
      </w:r>
      <w:r w:rsidR="00AD2C2B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easurements using </w:t>
      </w:r>
      <w:r w:rsidR="00EC612F">
        <w:rPr>
          <w:rFonts w:ascii="Arial" w:hAnsi="Arial" w:cs="Arial"/>
          <w:sz w:val="20"/>
        </w:rPr>
        <w:t xml:space="preserve">a </w:t>
      </w:r>
      <w:proofErr w:type="spellStart"/>
      <w:r w:rsidR="00AD2C2B">
        <w:rPr>
          <w:rFonts w:ascii="Arial" w:hAnsi="Arial" w:cs="Arial"/>
          <w:sz w:val="20"/>
        </w:rPr>
        <w:t>Krautkramer</w:t>
      </w:r>
      <w:proofErr w:type="spellEnd"/>
      <w:r w:rsidR="00AD2C2B">
        <w:rPr>
          <w:rFonts w:ascii="Arial" w:hAnsi="Arial" w:cs="Arial"/>
          <w:sz w:val="20"/>
        </w:rPr>
        <w:t xml:space="preserve"> DMS </w:t>
      </w:r>
      <w:r>
        <w:rPr>
          <w:rFonts w:ascii="Arial" w:hAnsi="Arial" w:cs="Arial"/>
          <w:sz w:val="20"/>
        </w:rPr>
        <w:t xml:space="preserve">2/2E as required </w:t>
      </w:r>
      <w:r w:rsidR="00EC612F">
        <w:rPr>
          <w:rFonts w:ascii="Arial" w:hAnsi="Arial" w:cs="Arial"/>
          <w:sz w:val="20"/>
        </w:rPr>
        <w:t>by ASME Sec. V Article 5 T</w:t>
      </w:r>
      <w:r>
        <w:rPr>
          <w:rFonts w:ascii="Arial" w:hAnsi="Arial" w:cs="Arial"/>
          <w:sz w:val="20"/>
        </w:rPr>
        <w:t>able T-522</w:t>
      </w:r>
      <w:r w:rsidR="00EC612F">
        <w:rPr>
          <w:rFonts w:ascii="Arial" w:hAnsi="Arial"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1170"/>
        <w:gridCol w:w="1170"/>
        <w:gridCol w:w="1188"/>
      </w:tblGrid>
      <w:tr w:rsidR="005461F0" w:rsidRPr="00C54DBB" w:rsidTr="005461F0">
        <w:trPr>
          <w:trHeight w:val="20"/>
        </w:trPr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C54DBB">
              <w:rPr>
                <w:rFonts w:ascii="Arial" w:eastAsia="Calibri" w:hAnsi="Arial" w:cs="Arial"/>
                <w:b/>
                <w:color w:val="000000"/>
                <w:sz w:val="20"/>
              </w:rPr>
              <w:t>Ultrasonic instrument(s)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C54DBB">
              <w:rPr>
                <w:rFonts w:ascii="Arial" w:eastAsia="Calibri" w:hAnsi="Arial" w:cs="Arial"/>
                <w:b/>
                <w:sz w:val="20"/>
              </w:rPr>
              <w:t>Krautkramer</w:t>
            </w:r>
            <w:proofErr w:type="spellEnd"/>
            <w:r w:rsidRPr="00C54DBB">
              <w:rPr>
                <w:rFonts w:ascii="Arial" w:eastAsia="Calibri" w:hAnsi="Arial" w:cs="Arial"/>
                <w:b/>
                <w:sz w:val="20"/>
              </w:rPr>
              <w:t xml:space="preserve"> DMS 2/2E</w:t>
            </w:r>
          </w:p>
        </w:tc>
      </w:tr>
      <w:tr w:rsidR="005461F0" w:rsidRPr="00C54DBB" w:rsidTr="0081358B">
        <w:tc>
          <w:tcPr>
            <w:tcW w:w="4428" w:type="dxa"/>
            <w:vMerge w:val="restart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Search unit type(s), frequency,(</w:t>
            </w:r>
            <w:proofErr w:type="spellStart"/>
            <w:r w:rsidRPr="00C54DBB">
              <w:rPr>
                <w:rFonts w:ascii="Arial" w:eastAsia="Calibri" w:hAnsi="Arial" w:cs="Arial"/>
                <w:color w:val="000000"/>
                <w:sz w:val="20"/>
              </w:rPr>
              <w:t>ies</w:t>
            </w:r>
            <w:proofErr w:type="spellEnd"/>
            <w:r w:rsidRPr="00C54DBB">
              <w:rPr>
                <w:rFonts w:ascii="Arial" w:eastAsia="Calibri" w:hAnsi="Arial" w:cs="Arial"/>
                <w:color w:val="000000"/>
                <w:sz w:val="20"/>
              </w:rPr>
              <w:t>), and element size(s), shape(s)</w:t>
            </w:r>
          </w:p>
        </w:tc>
        <w:tc>
          <w:tcPr>
            <w:tcW w:w="180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FH2E-D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D42823">
            <w:pPr>
              <w:spacing w:after="0" w:line="240" w:lineRule="auto"/>
              <w:ind w:left="252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8 MHz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.38” Dia.</w:t>
            </w:r>
          </w:p>
        </w:tc>
        <w:tc>
          <w:tcPr>
            <w:tcW w:w="118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Round</w:t>
            </w:r>
          </w:p>
        </w:tc>
      </w:tr>
      <w:tr w:rsidR="005461F0" w:rsidRPr="00C54DBB" w:rsidTr="0081358B">
        <w:tc>
          <w:tcPr>
            <w:tcW w:w="4428" w:type="dxa"/>
            <w:vMerge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KBA560-D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D42823">
            <w:pPr>
              <w:spacing w:after="0" w:line="240" w:lineRule="auto"/>
              <w:ind w:left="252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5 MHz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.625” Dia.</w:t>
            </w:r>
          </w:p>
        </w:tc>
        <w:tc>
          <w:tcPr>
            <w:tcW w:w="118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Round</w:t>
            </w:r>
          </w:p>
        </w:tc>
      </w:tr>
      <w:tr w:rsidR="005461F0" w:rsidRPr="00C54DBB" w:rsidTr="0081358B">
        <w:tc>
          <w:tcPr>
            <w:tcW w:w="4428" w:type="dxa"/>
            <w:vMerge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HT400</w:t>
            </w:r>
            <w:r>
              <w:rPr>
                <w:rFonts w:ascii="Arial" w:eastAsia="Calibri" w:hAnsi="Arial" w:cs="Arial"/>
                <w:sz w:val="20"/>
              </w:rPr>
              <w:t xml:space="preserve"> \HT400-A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D42823">
            <w:pPr>
              <w:spacing w:after="0" w:line="240" w:lineRule="auto"/>
              <w:ind w:left="252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5 MHz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.5” Dia.</w:t>
            </w:r>
          </w:p>
        </w:tc>
        <w:tc>
          <w:tcPr>
            <w:tcW w:w="118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Round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DA-303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D42823">
            <w:pPr>
              <w:spacing w:after="0" w:line="240" w:lineRule="auto"/>
              <w:ind w:left="252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 MHz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.635” Dia.</w:t>
            </w:r>
          </w:p>
        </w:tc>
        <w:tc>
          <w:tcPr>
            <w:tcW w:w="118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Round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DA-301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D42823">
            <w:pPr>
              <w:spacing w:after="0" w:line="240" w:lineRule="auto"/>
              <w:ind w:left="252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 MHz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.475” Dia.</w:t>
            </w:r>
          </w:p>
        </w:tc>
        <w:tc>
          <w:tcPr>
            <w:tcW w:w="118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Round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TC-560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D42823">
            <w:pPr>
              <w:spacing w:after="0" w:line="240" w:lineRule="auto"/>
              <w:ind w:left="252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 MHz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.675” Dia.</w:t>
            </w:r>
          </w:p>
        </w:tc>
        <w:tc>
          <w:tcPr>
            <w:tcW w:w="118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Round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DA-312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D42823">
            <w:pPr>
              <w:spacing w:after="0" w:line="240" w:lineRule="auto"/>
              <w:ind w:left="162"/>
              <w:jc w:val="righ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 MHz</w:t>
            </w:r>
          </w:p>
        </w:tc>
        <w:tc>
          <w:tcPr>
            <w:tcW w:w="1170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.675” Dia.</w:t>
            </w:r>
          </w:p>
        </w:tc>
        <w:tc>
          <w:tcPr>
            <w:tcW w:w="1188" w:type="dxa"/>
            <w:shd w:val="clear" w:color="auto" w:fill="auto"/>
          </w:tcPr>
          <w:p w:rsidR="005461F0" w:rsidRPr="00C54DBB" w:rsidRDefault="005461F0" w:rsidP="005461F0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Round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Material Types and configuration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This unit can be used to measure thickness on ferrous and non-ferrous plate, sheet, bar, shapes, strip, seamless &amp; welded, forged, or centrifugal cast, pipe &amp; tubing, castings, forgings, E.R.W.  tube, wrought fittings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The surface from which the examination shall be performed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 xml:space="preserve">Examination may take place from any accessible surface, 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Technique(s) (straight beam , angle beam, contact, and/or immersion)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Technique is straight beam,</w:t>
            </w:r>
            <w:r>
              <w:rPr>
                <w:rFonts w:ascii="Arial" w:eastAsia="Calibri" w:hAnsi="Arial" w:cs="Arial"/>
                <w:sz w:val="20"/>
              </w:rPr>
              <w:t xml:space="preserve"> dual beam,</w:t>
            </w:r>
            <w:r w:rsidRPr="00C54DBB">
              <w:rPr>
                <w:rFonts w:ascii="Arial" w:eastAsia="Calibri" w:hAnsi="Arial" w:cs="Arial"/>
                <w:sz w:val="20"/>
              </w:rPr>
              <w:t xml:space="preserve"> contact method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 xml:space="preserve">Angles and mode(s) of wave propagation 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N/A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Calibration [calibration block(s) and technique(s)</w:t>
            </w:r>
            <w:r w:rsidRPr="00C54DBB">
              <w:rPr>
                <w:rFonts w:ascii="Arial" w:eastAsia="Calibri" w:hAnsi="Arial" w:cs="Arial"/>
                <w:sz w:val="20"/>
              </w:rPr>
              <w:t xml:space="preserve"> Calibration blocks shall be of the same material or material of similar ultrasonic frequency as the material being tested.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Refe</w:t>
            </w:r>
            <w:proofErr w:type="spellEnd"/>
            <w:r>
              <w:rPr>
                <w:rFonts w:ascii="Arial" w:eastAsia="Calibri" w:hAnsi="Arial" w:cs="Arial"/>
                <w:sz w:val="20"/>
              </w:rPr>
              <w:t>. Para. 7.1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.D.1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 </w:t>
            </w:r>
            <w:r w:rsidRPr="00C54DBB">
              <w:rPr>
                <w:rFonts w:ascii="Arial" w:eastAsia="Calibri" w:hAnsi="Arial" w:cs="Arial"/>
                <w:sz w:val="20"/>
              </w:rPr>
              <w:t xml:space="preserve">The calibration step blocks shall have dimensions certified by NIST or measured with equipment calibrated and certified to NIST. </w:t>
            </w:r>
          </w:p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328" w:type="dxa"/>
            <w:gridSpan w:val="4"/>
            <w:shd w:val="clear" w:color="auto" w:fill="auto"/>
          </w:tcPr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>Step block  .1” to .5”  Steel s/n 6194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 xml:space="preserve">Step block  .1” to .5”  Steel s/n </w:t>
            </w:r>
            <w:r>
              <w:rPr>
                <w:rFonts w:ascii="Arial" w:hAnsi="Arial" w:cs="Arial"/>
                <w:sz w:val="20"/>
              </w:rPr>
              <w:t>94-</w:t>
            </w:r>
            <w:r w:rsidRPr="00C54DBB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256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>Step block  .1” to .5”  Steel s/n 6</w:t>
            </w:r>
            <w:r>
              <w:rPr>
                <w:rFonts w:ascii="Arial" w:hAnsi="Arial" w:cs="Arial"/>
                <w:sz w:val="20"/>
              </w:rPr>
              <w:t>091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 xml:space="preserve">Step block  .1” to .5”  Steel s/n </w:t>
            </w:r>
            <w:r>
              <w:rPr>
                <w:rFonts w:ascii="Arial" w:hAnsi="Arial" w:cs="Arial"/>
                <w:sz w:val="20"/>
              </w:rPr>
              <w:t>V32807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 xml:space="preserve">Step block  .1” to .5”  </w:t>
            </w:r>
            <w:r>
              <w:rPr>
                <w:rFonts w:ascii="Arial" w:hAnsi="Arial" w:cs="Arial"/>
                <w:sz w:val="20"/>
              </w:rPr>
              <w:t>304 S</w:t>
            </w:r>
            <w:r w:rsidRPr="00C54DB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C54DBB">
              <w:rPr>
                <w:rFonts w:ascii="Arial" w:hAnsi="Arial" w:cs="Arial"/>
                <w:sz w:val="20"/>
              </w:rPr>
              <w:t xml:space="preserve"> s/n </w:t>
            </w:r>
            <w:r>
              <w:rPr>
                <w:rFonts w:ascii="Arial" w:hAnsi="Arial" w:cs="Arial"/>
                <w:sz w:val="20"/>
              </w:rPr>
              <w:t>095513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 xml:space="preserve">Step block  .1” to .5”  </w:t>
            </w:r>
            <w:r>
              <w:rPr>
                <w:rFonts w:ascii="Arial" w:hAnsi="Arial" w:cs="Arial"/>
                <w:sz w:val="20"/>
              </w:rPr>
              <w:t>304 S</w:t>
            </w:r>
            <w:r w:rsidRPr="00C54DB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C54DBB">
              <w:rPr>
                <w:rFonts w:ascii="Arial" w:hAnsi="Arial" w:cs="Arial"/>
                <w:sz w:val="20"/>
              </w:rPr>
              <w:t xml:space="preserve"> s/n </w:t>
            </w:r>
            <w:r>
              <w:rPr>
                <w:rFonts w:ascii="Arial" w:hAnsi="Arial" w:cs="Arial"/>
                <w:sz w:val="20"/>
              </w:rPr>
              <w:t>095313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  1.00”  and .100” 303 SS 118-540-004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 .015” 304 SS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 .030” 304 SS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 .045” 304 SS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 .060” 304 SS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 .075” 304 SS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 .090” 304 SS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.241~  V=1854 in/µs    sn#00KR9F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>Step block  .1” to .</w:t>
            </w:r>
            <w:r>
              <w:rPr>
                <w:rFonts w:ascii="Arial" w:hAnsi="Arial" w:cs="Arial"/>
                <w:sz w:val="20"/>
              </w:rPr>
              <w:t>7</w:t>
            </w:r>
            <w:r w:rsidRPr="00C54DBB">
              <w:rPr>
                <w:rFonts w:ascii="Arial" w:hAnsi="Arial" w:cs="Arial"/>
                <w:sz w:val="20"/>
              </w:rPr>
              <w:t xml:space="preserve">5”  </w:t>
            </w:r>
            <w:r>
              <w:rPr>
                <w:rFonts w:ascii="Arial" w:hAnsi="Arial" w:cs="Arial"/>
                <w:sz w:val="20"/>
              </w:rPr>
              <w:t>Brass</w:t>
            </w:r>
            <w:r w:rsidRPr="00C54DB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Fabricated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 xml:space="preserve">Step block  .1” to .5”  </w:t>
            </w:r>
            <w:r>
              <w:rPr>
                <w:rFonts w:ascii="Arial" w:hAnsi="Arial" w:cs="Arial"/>
                <w:sz w:val="20"/>
              </w:rPr>
              <w:t>Aluminum Fabricated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>Step block  .</w:t>
            </w:r>
            <w:r>
              <w:rPr>
                <w:rFonts w:ascii="Arial" w:hAnsi="Arial" w:cs="Arial"/>
                <w:sz w:val="20"/>
              </w:rPr>
              <w:t>5</w:t>
            </w:r>
            <w:r w:rsidRPr="00C54DBB">
              <w:rPr>
                <w:rFonts w:ascii="Arial" w:hAnsi="Arial" w:cs="Arial"/>
                <w:sz w:val="20"/>
              </w:rPr>
              <w:t xml:space="preserve">” to </w:t>
            </w:r>
            <w:r>
              <w:rPr>
                <w:rFonts w:ascii="Arial" w:hAnsi="Arial" w:cs="Arial"/>
                <w:sz w:val="20"/>
              </w:rPr>
              <w:t>1</w:t>
            </w:r>
            <w:r w:rsidRPr="00C54DB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Pr="00C54DBB">
              <w:rPr>
                <w:rFonts w:ascii="Arial" w:hAnsi="Arial" w:cs="Arial"/>
                <w:sz w:val="20"/>
              </w:rPr>
              <w:t xml:space="preserve">5”  </w:t>
            </w:r>
            <w:r>
              <w:rPr>
                <w:rFonts w:ascii="Arial" w:hAnsi="Arial" w:cs="Arial"/>
                <w:sz w:val="20"/>
              </w:rPr>
              <w:t>Aluminum Fabricated</w:t>
            </w:r>
          </w:p>
          <w:p w:rsidR="005461F0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>Step block  .</w:t>
            </w:r>
            <w:r>
              <w:rPr>
                <w:rFonts w:ascii="Arial" w:hAnsi="Arial" w:cs="Arial"/>
                <w:sz w:val="20"/>
              </w:rPr>
              <w:t>5</w:t>
            </w:r>
            <w:r w:rsidRPr="00C54DBB">
              <w:rPr>
                <w:rFonts w:ascii="Arial" w:hAnsi="Arial" w:cs="Arial"/>
                <w:sz w:val="20"/>
              </w:rPr>
              <w:t xml:space="preserve">” to </w:t>
            </w:r>
            <w:r>
              <w:rPr>
                <w:rFonts w:ascii="Arial" w:hAnsi="Arial" w:cs="Arial"/>
                <w:sz w:val="20"/>
              </w:rPr>
              <w:t>1</w:t>
            </w:r>
            <w:r w:rsidRPr="00C54DB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Pr="00C54DBB">
              <w:rPr>
                <w:rFonts w:ascii="Arial" w:hAnsi="Arial" w:cs="Arial"/>
                <w:sz w:val="20"/>
              </w:rPr>
              <w:t xml:space="preserve">5”  </w:t>
            </w:r>
            <w:r>
              <w:rPr>
                <w:rFonts w:ascii="Arial" w:hAnsi="Arial" w:cs="Arial"/>
                <w:sz w:val="20"/>
              </w:rPr>
              <w:t>304 SS Fabricated</w:t>
            </w:r>
          </w:p>
          <w:p w:rsidR="005461F0" w:rsidRPr="003C41C7" w:rsidRDefault="005461F0" w:rsidP="005461F0">
            <w:pPr>
              <w:spacing w:after="0"/>
              <w:rPr>
                <w:rFonts w:ascii="Arial" w:hAnsi="Arial" w:cs="Arial"/>
                <w:sz w:val="20"/>
              </w:rPr>
            </w:pPr>
            <w:r w:rsidRPr="00C54DBB">
              <w:rPr>
                <w:rFonts w:ascii="Arial" w:hAnsi="Arial" w:cs="Arial"/>
                <w:sz w:val="20"/>
              </w:rPr>
              <w:t>DS Test Block</w:t>
            </w:r>
            <w:r w:rsidR="003C41C7">
              <w:rPr>
                <w:rFonts w:ascii="Arial" w:hAnsi="Arial" w:cs="Arial"/>
                <w:sz w:val="20"/>
              </w:rPr>
              <w:t>  Steel 2” and 4”  </w:t>
            </w:r>
            <w:r>
              <w:rPr>
                <w:rFonts w:ascii="Arial" w:hAnsi="Arial" w:cs="Arial"/>
                <w:sz w:val="20"/>
              </w:rPr>
              <w:t>s/n 03-6978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Direction and extent of scanning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3C41C7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Each thickness m</w:t>
            </w:r>
            <w:r w:rsidR="005461F0" w:rsidRPr="00C54DBB">
              <w:rPr>
                <w:rFonts w:ascii="Arial" w:eastAsia="Calibri" w:hAnsi="Arial" w:cs="Arial"/>
                <w:sz w:val="20"/>
              </w:rPr>
              <w:t>easurement shall be avg. of three readings within 1” circle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Scanning (manual vs automatic)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 xml:space="preserve">Manual 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Scan overlap (decrease only)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3C41C7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Each thickness m</w:t>
            </w:r>
            <w:r w:rsidR="005461F0" w:rsidRPr="00C54DBB">
              <w:rPr>
                <w:rFonts w:ascii="Arial" w:eastAsia="Calibri" w:hAnsi="Arial" w:cs="Arial"/>
                <w:sz w:val="20"/>
              </w:rPr>
              <w:t>easurement shall be avg. of three readings within  1” circle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lastRenderedPageBreak/>
              <w:t>Method for sizing indications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N/A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Computer enhanced data acquisition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N/A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Personnel performance requirements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N/A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color w:val="000000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Surface Condition (examination surface, calibration blocks)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Surface must be free of dirt, grease, oil, loose paint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proofErr w:type="spellStart"/>
            <w:r w:rsidRPr="00C54DBB">
              <w:rPr>
                <w:rFonts w:ascii="Arial" w:eastAsia="Calibri" w:hAnsi="Arial" w:cs="Arial"/>
                <w:color w:val="000000"/>
                <w:sz w:val="20"/>
              </w:rPr>
              <w:t>Couplant</w:t>
            </w:r>
            <w:proofErr w:type="spellEnd"/>
            <w:r w:rsidRPr="00C54DBB">
              <w:rPr>
                <w:rFonts w:ascii="Arial" w:eastAsia="Calibri" w:hAnsi="Arial" w:cs="Arial"/>
                <w:color w:val="000000"/>
                <w:sz w:val="20"/>
              </w:rPr>
              <w:t>: brand name or type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proofErr w:type="spellStart"/>
            <w:r w:rsidRPr="00C54DBB">
              <w:rPr>
                <w:rFonts w:ascii="Arial" w:hAnsi="Arial" w:cs="Arial"/>
                <w:sz w:val="20"/>
              </w:rPr>
              <w:t>S</w:t>
            </w:r>
            <w:r w:rsidR="00EC612F">
              <w:rPr>
                <w:rFonts w:ascii="Arial" w:hAnsi="Arial" w:cs="Arial"/>
                <w:sz w:val="20"/>
              </w:rPr>
              <w:t>onotech</w:t>
            </w:r>
            <w:proofErr w:type="spellEnd"/>
            <w:r w:rsidR="00EC61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C612F">
              <w:rPr>
                <w:rFonts w:ascii="Arial" w:hAnsi="Arial" w:cs="Arial"/>
                <w:sz w:val="20"/>
              </w:rPr>
              <w:t>Echogel</w:t>
            </w:r>
            <w:proofErr w:type="spellEnd"/>
            <w:r w:rsidR="00EC612F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="00EC612F">
              <w:rPr>
                <w:rFonts w:ascii="Arial" w:hAnsi="Arial" w:cs="Arial"/>
                <w:sz w:val="20"/>
              </w:rPr>
              <w:t>Ultragell</w:t>
            </w:r>
            <w:proofErr w:type="spellEnd"/>
            <w:r w:rsidR="00EC612F">
              <w:rPr>
                <w:rFonts w:ascii="Arial" w:hAnsi="Arial" w:cs="Arial"/>
                <w:sz w:val="20"/>
              </w:rPr>
              <w:t xml:space="preserve"> II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Post-examination cleaning technique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3C41C7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Wipe </w:t>
            </w:r>
            <w:proofErr w:type="spellStart"/>
            <w:r>
              <w:rPr>
                <w:rFonts w:ascii="Arial" w:eastAsia="Calibri" w:hAnsi="Arial" w:cs="Arial"/>
                <w:sz w:val="20"/>
              </w:rPr>
              <w:t>c</w:t>
            </w:r>
            <w:r w:rsidR="005461F0" w:rsidRPr="00C54DBB">
              <w:rPr>
                <w:rFonts w:ascii="Arial" w:eastAsia="Calibri" w:hAnsi="Arial" w:cs="Arial"/>
                <w:sz w:val="20"/>
              </w:rPr>
              <w:t>ouplant</w:t>
            </w:r>
            <w:proofErr w:type="spellEnd"/>
            <w:r w:rsidR="005461F0" w:rsidRPr="00C54DBB">
              <w:rPr>
                <w:rFonts w:ascii="Arial" w:eastAsia="Calibri" w:hAnsi="Arial" w:cs="Arial"/>
                <w:sz w:val="20"/>
              </w:rPr>
              <w:t xml:space="preserve"> away with clean cloth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color w:val="000000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Automatic alarm and/or recording equipment, when applicable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N/A</w:t>
            </w:r>
          </w:p>
        </w:tc>
      </w:tr>
      <w:tr w:rsidR="005461F0" w:rsidRPr="00C54DBB" w:rsidTr="0081358B">
        <w:tc>
          <w:tcPr>
            <w:tcW w:w="4428" w:type="dxa"/>
            <w:shd w:val="clear" w:color="auto" w:fill="auto"/>
          </w:tcPr>
          <w:p w:rsidR="005461F0" w:rsidRPr="00C54DBB" w:rsidRDefault="005461F0" w:rsidP="005461F0">
            <w:pPr>
              <w:spacing w:after="0"/>
              <w:rPr>
                <w:rFonts w:ascii="Arial" w:eastAsia="Calibri" w:hAnsi="Arial" w:cs="Arial"/>
                <w:color w:val="000000"/>
                <w:sz w:val="20"/>
              </w:rPr>
            </w:pPr>
            <w:r w:rsidRPr="00C54DBB">
              <w:rPr>
                <w:rFonts w:ascii="Arial" w:eastAsia="Calibri" w:hAnsi="Arial" w:cs="Arial"/>
                <w:color w:val="000000"/>
                <w:sz w:val="20"/>
              </w:rPr>
              <w:t>Records, including minimum calibration data to be recorded (e.g., instrument settings)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5461F0" w:rsidRPr="00C54DBB" w:rsidRDefault="005461F0" w:rsidP="003C41C7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C54DBB">
              <w:rPr>
                <w:rFonts w:ascii="Arial" w:eastAsia="Calibri" w:hAnsi="Arial" w:cs="Arial"/>
                <w:sz w:val="20"/>
              </w:rPr>
              <w:t>Records must include description of the item, a map of location where thicknesses were taken</w:t>
            </w:r>
            <w:r w:rsidR="003C41C7">
              <w:rPr>
                <w:rFonts w:ascii="Arial" w:eastAsia="Calibri" w:hAnsi="Arial" w:cs="Arial"/>
                <w:sz w:val="20"/>
              </w:rPr>
              <w:t>,</w:t>
            </w:r>
            <w:r>
              <w:rPr>
                <w:rFonts w:ascii="Arial" w:eastAsia="Calibri" w:hAnsi="Arial" w:cs="Arial"/>
                <w:sz w:val="20"/>
              </w:rPr>
              <w:t xml:space="preserve"> and applicable </w:t>
            </w:r>
            <w:r w:rsidR="003C41C7">
              <w:rPr>
                <w:rFonts w:ascii="Arial" w:eastAsia="Calibri" w:hAnsi="Arial" w:cs="Arial"/>
                <w:sz w:val="20"/>
              </w:rPr>
              <w:t xml:space="preserve">record data </w:t>
            </w:r>
            <w:r>
              <w:rPr>
                <w:rFonts w:ascii="Arial" w:eastAsia="Calibri" w:hAnsi="Arial" w:cs="Arial"/>
                <w:sz w:val="20"/>
              </w:rPr>
              <w:t xml:space="preserve">items from </w:t>
            </w:r>
            <w:r w:rsidR="003C41C7">
              <w:rPr>
                <w:rFonts w:ascii="Arial" w:eastAsia="Calibri" w:hAnsi="Arial" w:cs="Arial"/>
                <w:sz w:val="20"/>
              </w:rPr>
              <w:t>the</w:t>
            </w:r>
            <w:r>
              <w:rPr>
                <w:rFonts w:ascii="Arial" w:eastAsia="Calibri" w:hAnsi="Arial" w:cs="Arial"/>
                <w:sz w:val="20"/>
              </w:rPr>
              <w:t xml:space="preserve"> procedure</w:t>
            </w:r>
            <w:r w:rsidR="003C41C7">
              <w:rPr>
                <w:rFonts w:ascii="Arial" w:eastAsia="Calibri" w:hAnsi="Arial" w:cs="Arial"/>
                <w:sz w:val="20"/>
              </w:rPr>
              <w:t xml:space="preserve"> (</w:t>
            </w:r>
            <w:r w:rsidR="003C41C7" w:rsidRPr="003C41C7">
              <w:rPr>
                <w:rFonts w:ascii="Arial" w:eastAsia="Calibri" w:hAnsi="Arial" w:cs="Arial"/>
                <w:i/>
                <w:sz w:val="20"/>
              </w:rPr>
              <w:t>Section 7.4</w:t>
            </w:r>
            <w:r w:rsidR="003C41C7">
              <w:rPr>
                <w:rFonts w:ascii="Arial" w:eastAsia="Calibri" w:hAnsi="Arial" w:cs="Arial"/>
                <w:sz w:val="20"/>
              </w:rPr>
              <w:t xml:space="preserve"> </w:t>
            </w:r>
            <w:r w:rsidR="003C41C7" w:rsidRPr="003C41C7">
              <w:rPr>
                <w:rFonts w:ascii="Arial" w:eastAsia="Calibri" w:hAnsi="Arial" w:cs="Arial"/>
                <w:i/>
                <w:sz w:val="20"/>
              </w:rPr>
              <w:t>and Form 1</w:t>
            </w:r>
            <w:r w:rsidR="003C41C7">
              <w:rPr>
                <w:rFonts w:ascii="Arial" w:eastAsia="Calibri" w:hAnsi="Arial" w:cs="Arial"/>
                <w:sz w:val="20"/>
              </w:rPr>
              <w:t>)</w:t>
            </w:r>
          </w:p>
        </w:tc>
      </w:tr>
    </w:tbl>
    <w:p w:rsidR="005461F0" w:rsidRDefault="005461F0" w:rsidP="005461F0">
      <w:pPr>
        <w:spacing w:after="0"/>
      </w:pPr>
    </w:p>
    <w:p w:rsidR="005461F0" w:rsidRDefault="005461F0" w:rsidP="005461F0">
      <w:pPr>
        <w:spacing w:after="0"/>
      </w:pPr>
    </w:p>
    <w:p w:rsidR="005461F0" w:rsidRDefault="005461F0" w:rsidP="005461F0">
      <w:pPr>
        <w:spacing w:after="0"/>
      </w:pPr>
    </w:p>
    <w:p w:rsidR="005461F0" w:rsidRDefault="00EC612F" w:rsidP="00CB3846">
      <w:pPr>
        <w:spacing w:after="0"/>
        <w:jc w:val="center"/>
      </w:pPr>
      <w:r>
        <w:t>Record copy si</w:t>
      </w:r>
      <w:r w:rsidR="00DD139C">
        <w:t>gned by Richard K. Bingham, 10/5</w:t>
      </w:r>
      <w:bookmarkStart w:id="0" w:name="_GoBack"/>
      <w:bookmarkEnd w:id="0"/>
      <w:r>
        <w:t>/2015</w:t>
      </w:r>
    </w:p>
    <w:p w:rsidR="00CB3846" w:rsidRDefault="00D42823" w:rsidP="00D42823">
      <w:pPr>
        <w:pStyle w:val="ProcTableBodyText"/>
        <w:tabs>
          <w:tab w:val="right" w:leader="underscore" w:pos="3737"/>
          <w:tab w:val="left" w:pos="3992"/>
          <w:tab w:val="right" w:leader="underscore" w:pos="6797"/>
        </w:tabs>
        <w:rPr>
          <w:rFonts w:cs="Arial"/>
        </w:rPr>
      </w:pPr>
      <w:r>
        <w:rPr>
          <w:rFonts w:cs="Arial"/>
          <w:szCs w:val="20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170"/>
        <w:gridCol w:w="3237"/>
      </w:tblGrid>
      <w:tr w:rsidR="00CB3846" w:rsidTr="00CB3846">
        <w:tc>
          <w:tcPr>
            <w:tcW w:w="3258" w:type="dxa"/>
            <w:tcBorders>
              <w:bottom w:val="single" w:sz="4" w:space="0" w:color="auto"/>
            </w:tcBorders>
          </w:tcPr>
          <w:p w:rsidR="00CB3846" w:rsidRDefault="00CB3846" w:rsidP="00D42823">
            <w:pPr>
              <w:pStyle w:val="ProcTableBodyText"/>
              <w:tabs>
                <w:tab w:val="right" w:leader="underscore" w:pos="3737"/>
                <w:tab w:val="left" w:pos="3992"/>
                <w:tab w:val="right" w:leader="underscore" w:pos="6797"/>
              </w:tabs>
              <w:rPr>
                <w:rFonts w:cs="Arial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B3846" w:rsidRDefault="00CB3846" w:rsidP="00D42823">
            <w:pPr>
              <w:pStyle w:val="ProcTableBodyText"/>
              <w:tabs>
                <w:tab w:val="right" w:leader="underscore" w:pos="3737"/>
                <w:tab w:val="left" w:pos="3992"/>
                <w:tab w:val="right" w:leader="underscore" w:pos="6797"/>
              </w:tabs>
              <w:rPr>
                <w:rFonts w:cs="Arial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B3846" w:rsidRDefault="00CB3846" w:rsidP="00D42823">
            <w:pPr>
              <w:pStyle w:val="ProcTableBodyText"/>
              <w:tabs>
                <w:tab w:val="right" w:leader="underscore" w:pos="3737"/>
                <w:tab w:val="left" w:pos="3992"/>
                <w:tab w:val="right" w:leader="underscore" w:pos="6797"/>
              </w:tabs>
              <w:rPr>
                <w:rFonts w:cs="Arial"/>
              </w:rPr>
            </w:pPr>
          </w:p>
        </w:tc>
      </w:tr>
      <w:tr w:rsidR="00CB3846" w:rsidTr="00CB3846">
        <w:tc>
          <w:tcPr>
            <w:tcW w:w="3258" w:type="dxa"/>
            <w:tcBorders>
              <w:top w:val="single" w:sz="4" w:space="0" w:color="auto"/>
              <w:bottom w:val="nil"/>
            </w:tcBorders>
          </w:tcPr>
          <w:p w:rsidR="00CB3846" w:rsidRDefault="00CB3846" w:rsidP="00CB3846">
            <w:pPr>
              <w:pStyle w:val="ProcTableBodyText"/>
              <w:tabs>
                <w:tab w:val="right" w:leader="underscore" w:pos="3737"/>
                <w:tab w:val="left" w:pos="3992"/>
                <w:tab w:val="right" w:leader="underscore" w:pos="6797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Level    III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B3846" w:rsidRPr="00723A79" w:rsidRDefault="00CB3846" w:rsidP="00D42823">
            <w:pPr>
              <w:pStyle w:val="ProcTableBodyText"/>
              <w:tabs>
                <w:tab w:val="right" w:leader="underscore" w:pos="3737"/>
                <w:tab w:val="left" w:pos="3992"/>
                <w:tab w:val="right" w:leader="underscore" w:pos="6797"/>
              </w:tabs>
              <w:rPr>
                <w:rFonts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nil"/>
            </w:tcBorders>
          </w:tcPr>
          <w:p w:rsidR="00CB3846" w:rsidRDefault="00CB3846" w:rsidP="00CB3846">
            <w:pPr>
              <w:pStyle w:val="ProcTableBodyText"/>
              <w:tabs>
                <w:tab w:val="right" w:leader="underscore" w:pos="6797"/>
              </w:tabs>
              <w:jc w:val="center"/>
              <w:rPr>
                <w:rFonts w:cs="Arial"/>
              </w:rPr>
            </w:pPr>
            <w:r w:rsidRPr="00723A79">
              <w:rPr>
                <w:rFonts w:cs="Arial"/>
              </w:rPr>
              <w:t>Date</w:t>
            </w:r>
          </w:p>
        </w:tc>
      </w:tr>
    </w:tbl>
    <w:p w:rsidR="005461F0" w:rsidRPr="00D42823" w:rsidRDefault="005461F0" w:rsidP="00D42823">
      <w:pPr>
        <w:pStyle w:val="ProcTableBodyText"/>
        <w:tabs>
          <w:tab w:val="right" w:leader="underscore" w:pos="3737"/>
          <w:tab w:val="left" w:pos="3992"/>
          <w:tab w:val="right" w:leader="underscore" w:pos="6797"/>
        </w:tabs>
        <w:rPr>
          <w:rFonts w:cs="Arial"/>
          <w:szCs w:val="20"/>
        </w:rPr>
      </w:pPr>
      <w:r w:rsidRPr="00723A79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="00D42823">
        <w:rPr>
          <w:rFonts w:cs="Arial"/>
        </w:rPr>
        <w:t xml:space="preserve"> </w:t>
      </w:r>
    </w:p>
    <w:p w:rsidR="005461F0" w:rsidRPr="004A3289" w:rsidRDefault="005461F0" w:rsidP="00D42823">
      <w:pPr>
        <w:tabs>
          <w:tab w:val="left" w:pos="3737"/>
        </w:tabs>
        <w:spacing w:after="240"/>
        <w:rPr>
          <w:rFonts w:ascii="Arial" w:hAnsi="Arial"/>
        </w:rPr>
      </w:pPr>
    </w:p>
    <w:p w:rsidR="005461F0" w:rsidRDefault="005461F0" w:rsidP="005461F0">
      <w:pPr>
        <w:spacing w:after="0"/>
      </w:pPr>
    </w:p>
    <w:sectPr w:rsidR="005461F0" w:rsidSect="009F7D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F0" w:rsidRDefault="005461F0" w:rsidP="005461F0">
      <w:pPr>
        <w:spacing w:after="0" w:line="240" w:lineRule="auto"/>
      </w:pPr>
      <w:r>
        <w:separator/>
      </w:r>
    </w:p>
  </w:endnote>
  <w:endnote w:type="continuationSeparator" w:id="0">
    <w:p w:rsidR="005461F0" w:rsidRDefault="005461F0" w:rsidP="0054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F0" w:rsidRDefault="005461F0" w:rsidP="005461F0">
      <w:pPr>
        <w:spacing w:after="0" w:line="240" w:lineRule="auto"/>
      </w:pPr>
      <w:r>
        <w:separator/>
      </w:r>
    </w:p>
  </w:footnote>
  <w:footnote w:type="continuationSeparator" w:id="0">
    <w:p w:rsidR="005461F0" w:rsidRDefault="005461F0" w:rsidP="0054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F0" w:rsidRDefault="005461F0" w:rsidP="00D42823">
    <w:pPr>
      <w:tabs>
        <w:tab w:val="right" w:pos="9360"/>
        <w:tab w:val="right" w:pos="12960"/>
      </w:tabs>
      <w:spacing w:after="0" w:line="240" w:lineRule="auto"/>
      <w:rPr>
        <w:rFonts w:ascii="Arial" w:hAnsi="Arial"/>
        <w:b/>
        <w:color w:val="000000"/>
        <w:sz w:val="20"/>
      </w:rPr>
    </w:pPr>
    <w:r w:rsidRPr="00D42823">
      <w:rPr>
        <w:rFonts w:ascii="Arial" w:hAnsi="Arial"/>
        <w:b/>
        <w:color w:val="0000FF"/>
        <w:sz w:val="32"/>
      </w:rPr>
      <w:t>LANL</w:t>
    </w:r>
    <w:r w:rsidRPr="00D42823">
      <w:rPr>
        <w:rFonts w:ascii="Arial" w:hAnsi="Arial"/>
        <w:b/>
        <w:color w:val="000000"/>
        <w:sz w:val="20"/>
      </w:rPr>
      <w:t xml:space="preserve"> </w:t>
    </w:r>
    <w:r w:rsidRPr="00D42823">
      <w:rPr>
        <w:rFonts w:ascii="Arial" w:hAnsi="Arial"/>
        <w:b/>
        <w:color w:val="000000"/>
      </w:rPr>
      <w:t xml:space="preserve">Engineering Standards Manual </w:t>
    </w:r>
    <w:r w:rsidR="00EC612F" w:rsidRPr="00D42823">
      <w:rPr>
        <w:rFonts w:ascii="Arial" w:hAnsi="Arial"/>
        <w:b/>
      </w:rPr>
      <w:t>STD-342-100</w:t>
    </w:r>
    <w:r w:rsidRPr="00866E0A">
      <w:rPr>
        <w:rFonts w:ascii="Arial" w:hAnsi="Arial"/>
        <w:b/>
        <w:color w:val="000000"/>
        <w:sz w:val="20"/>
      </w:rPr>
      <w:tab/>
      <w:t>Chapter 13, Welding, Joining, &amp; NDE</w:t>
    </w:r>
  </w:p>
  <w:p w:rsidR="005461F0" w:rsidRDefault="005461F0" w:rsidP="005461F0">
    <w:pPr>
      <w:tabs>
        <w:tab w:val="right" w:pos="12960"/>
      </w:tabs>
      <w:spacing w:line="19" w:lineRule="exact"/>
      <w:rPr>
        <w:rFonts w:ascii="Arial" w:hAnsi="Arial"/>
        <w:b/>
        <w:color w:val="00000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66675</wp:posOffset>
              </wp:positionV>
              <wp:extent cx="5943600" cy="12065"/>
              <wp:effectExtent l="0" t="0" r="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3E407" id="Rectangle 1" o:spid="_x0000_s1026" style="position:absolute;margin-left:1in;margin-top:5.2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LrCQujaAAAACgEA&#10;AA8AAABkcnMvZG93bnJldi54bWxMT8tOwzAQvCPxD9YicaN22zSKQpwKkLgiNXDh5sRLEjVem9ht&#10;w9+zPcFtZnc0j2q/uEmccY6jJw3rlQKB1Hk7Uq/h4/31oQARkyFrJk+o4Qcj7Ovbm8qU1l/ogOcm&#10;9YJNKJZGw5BSKKWM3YDOxJUPSPz78rMziencSzubC5u7SW6UyqUzI3HCYAK+DNgdm5Pj3M9to0Lx&#10;/dyTe8sObR62bb7T+v5ueXoEkXBJf2K41ufqUHOn1p/IRjExzzLekhioHYirQBWKLy2jTQayruT/&#10;CfUvAAAA//8DAFBLAQItABQABgAIAAAAIQC2gziS/gAAAOEBAAATAAAAAAAAAAAAAAAAAAAAAABb&#10;Q29udGVudF9UeXBlc10ueG1sUEsBAi0AFAAGAAgAAAAhADj9If/WAAAAlAEAAAsAAAAAAAAAAAAA&#10;AAAALwEAAF9yZWxzLy5yZWxzUEsBAi0AFAAGAAgAAAAhAG621pzlAgAAMAYAAA4AAAAAAAAAAAAA&#10;AAAALgIAAGRycy9lMm9Eb2MueG1sUEsBAi0AFAAGAAgAAAAhALrCQujaAAAACgEAAA8AAAAAAAAA&#10;AAAAAAAAPw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5461F0" w:rsidRPr="00023B28" w:rsidRDefault="00D42823" w:rsidP="00D42823">
    <w:pPr>
      <w:tabs>
        <w:tab w:val="right" w:pos="9360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Volume 6, Welding Inspection &amp; General NDE</w:t>
    </w:r>
    <w:r w:rsidRPr="00D42823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ab/>
      <w:t>Rev. 0</w:t>
    </w:r>
    <w:r w:rsidRPr="00023B28">
      <w:rPr>
        <w:rFonts w:ascii="Arial" w:hAnsi="Arial" w:cs="Arial"/>
        <w:color w:val="000000"/>
      </w:rPr>
      <w:t xml:space="preserve">, </w:t>
    </w:r>
    <w:r>
      <w:rPr>
        <w:rFonts w:ascii="Arial" w:hAnsi="Arial" w:cs="Arial"/>
        <w:color w:val="000000"/>
      </w:rPr>
      <w:t>10/08/15</w:t>
    </w:r>
    <w:r>
      <w:rPr>
        <w:rFonts w:ascii="Arial" w:hAnsi="Arial" w:cs="Arial"/>
      </w:rPr>
      <w:br/>
    </w:r>
    <w:r w:rsidR="005461F0">
      <w:rPr>
        <w:rFonts w:ascii="Arial" w:hAnsi="Arial" w:cs="Arial"/>
      </w:rPr>
      <w:t>ITM-1306-NDE-UT-100 Ultrasonic Thickness Examination</w:t>
    </w:r>
    <w:r w:rsidR="005461F0" w:rsidRPr="00023B28">
      <w:rPr>
        <w:rFonts w:ascii="Arial" w:hAnsi="Arial" w:cs="Arial"/>
      </w:rPr>
      <w:tab/>
    </w:r>
  </w:p>
  <w:p w:rsidR="005461F0" w:rsidRDefault="00DC5C51" w:rsidP="00EC612F">
    <w:pPr>
      <w:pStyle w:val="Header"/>
      <w:rPr>
        <w:rFonts w:ascii="Arial" w:hAnsi="Arial" w:cs="Arial"/>
      </w:rPr>
    </w:pPr>
    <w:r w:rsidRPr="00DC5C51">
      <w:rPr>
        <w:rFonts w:ascii="Arial" w:hAnsi="Arial" w:cs="Arial"/>
      </w:rPr>
      <w:t>A</w:t>
    </w:r>
    <w:r w:rsidR="00EC612F">
      <w:rPr>
        <w:rFonts w:ascii="Arial" w:hAnsi="Arial" w:cs="Arial"/>
      </w:rPr>
      <w:t>ttachment</w:t>
    </w:r>
    <w:r w:rsidR="00261781">
      <w:rPr>
        <w:rFonts w:ascii="Arial" w:hAnsi="Arial" w:cs="Arial"/>
      </w:rPr>
      <w:t xml:space="preserve"> 1</w:t>
    </w:r>
  </w:p>
  <w:p w:rsidR="00DC5C51" w:rsidRPr="00DC5C51" w:rsidRDefault="00DC5C51" w:rsidP="00DC5C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0"/>
    <w:rsid w:val="00261781"/>
    <w:rsid w:val="003C41C7"/>
    <w:rsid w:val="005461F0"/>
    <w:rsid w:val="009F7D5B"/>
    <w:rsid w:val="00AD2C2B"/>
    <w:rsid w:val="00CB3846"/>
    <w:rsid w:val="00CC7565"/>
    <w:rsid w:val="00D42823"/>
    <w:rsid w:val="00DC5C51"/>
    <w:rsid w:val="00DD139C"/>
    <w:rsid w:val="00E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2EB87FF-AFC6-46EF-90BE-DFF1C0F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F0"/>
  </w:style>
  <w:style w:type="paragraph" w:styleId="Footer">
    <w:name w:val="footer"/>
    <w:basedOn w:val="Normal"/>
    <w:link w:val="FooterChar"/>
    <w:uiPriority w:val="99"/>
    <w:unhideWhenUsed/>
    <w:rsid w:val="0054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F0"/>
  </w:style>
  <w:style w:type="paragraph" w:customStyle="1" w:styleId="ProcTableBodyText">
    <w:name w:val="Proc_Table_BodyText"/>
    <w:link w:val="ProcTableBodyTextCharChar"/>
    <w:rsid w:val="005461F0"/>
    <w:pPr>
      <w:suppressAutoHyphens/>
      <w:spacing w:after="0" w:line="240" w:lineRule="exact"/>
    </w:pPr>
    <w:rPr>
      <w:rFonts w:ascii="Arial" w:eastAsia="Times New Roman" w:hAnsi="Arial" w:cs="Times New Roman"/>
      <w:sz w:val="20"/>
      <w:szCs w:val="18"/>
    </w:rPr>
  </w:style>
  <w:style w:type="character" w:customStyle="1" w:styleId="ProcTableBodyTextCharChar">
    <w:name w:val="Proc_Table_BodyText Char Char"/>
    <w:link w:val="ProcTableBodyText"/>
    <w:rsid w:val="005461F0"/>
    <w:rPr>
      <w:rFonts w:ascii="Arial" w:eastAsia="Times New Roman" w:hAnsi="Arial" w:cs="Times New Roman"/>
      <w:sz w:val="20"/>
      <w:szCs w:val="18"/>
    </w:rPr>
  </w:style>
  <w:style w:type="table" w:styleId="TableGrid">
    <w:name w:val="Table Grid"/>
    <w:basedOn w:val="TableNormal"/>
    <w:uiPriority w:val="59"/>
    <w:rsid w:val="00CB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Bingham</dc:creator>
  <cp:lastModifiedBy>Salazar-Barnes, Christina L</cp:lastModifiedBy>
  <cp:revision>8</cp:revision>
  <dcterms:created xsi:type="dcterms:W3CDTF">2015-10-06T19:43:00Z</dcterms:created>
  <dcterms:modified xsi:type="dcterms:W3CDTF">2015-10-09T15:58:00Z</dcterms:modified>
</cp:coreProperties>
</file>